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第134期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2026年5月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每周资讯|2026年第二批设备更新资金已经下达；4月全国乘用车厂商新能源批发同增7%；台湾高阶载板设备商叙丰企业挂牌上柜.</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56B1BE58">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截至5月4日，2026年消费品以旧换新惠及8620.4万人次，带动销售额6292.7亿元</w:t>
      </w:r>
    </w:p>
    <w:p w14:paraId="513BA96C">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5日，商务部获悉，“五一”假期，多地实施春假连休政策，消费者出游需求集中释放，服务消费需求旺盛，商品消费总体平稳，生活必需品货足价稳。商品消费方面，商务大数据显示，截至5月4日，2026年消费品以旧换新惠及8620.4万人次，带动销售额6292.7亿元。其中，汽车以旧换新213.2万辆，带动新车销售额3423.9亿元；家电以旧换新3473.5万台，带动销售额1415.4亿元；数码和智能产品购新4933.7万件，带动销售额1453.4亿元。（商务部）</w:t>
      </w:r>
    </w:p>
    <w:p w14:paraId="3EEB491E">
      <w:pPr>
        <w:spacing w:line="360" w:lineRule="auto"/>
        <w:jc w:val="left"/>
        <w:rPr>
          <w:rFonts w:hint="default" w:ascii="Times New Roman" w:hAnsi="Times New Roman" w:eastAsia="仿宋" w:cs="Times New Roman"/>
          <w:sz w:val="32"/>
          <w:szCs w:val="24"/>
          <w:highlight w:val="none"/>
          <w:lang w:val="en-US" w:eastAsia="zh-CN"/>
        </w:rPr>
      </w:pPr>
    </w:p>
    <w:p w14:paraId="54FED2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韩国一季度出口2199亿美元创历史新高，芯片出口飙升139%</w:t>
      </w:r>
    </w:p>
    <w:p w14:paraId="19DE262A">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 5月6日，韩国产业通商资源部周三表示，受全球人工智能数据中心强劲增长的推动，韩国今年第一季度出口额达2199亿美元，同比增长37.8%，创历史新高。半导体出口成为主要驱动力，同比增长139%至785亿美元，主要得益于人工智能相关服务器投资的激增。在半导体领域，DRAM出口额同比增长249.1%至357.9亿美元，而NAND闪存芯片出口同比增长377.5%至53.9亿美元。(韩联社)</w:t>
      </w:r>
    </w:p>
    <w:p w14:paraId="7BC305D6">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2026年第二批915亿元超长期特别国债支持设备更新资金已经下达</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4月30日，今年以来，按照党中央和国务院优化实施“两新”政策的决策部署，国家发展改革委会同有关部门，扎实推进超长期特别国债资金支持设备更新工作。近日，2026年第二批915亿元“两新”设备更新项目清单和资金安排已经下达，支持工业、能源电力、电子信息、交通运输、物流、教育、文旅、医疗、设施农业、粮油加工、住宅老旧电梯、安全生产、消防救援、检验检测、节能降碳环保、回收循环利用等16个领域超过6700个项目，带动总投资超过3800亿元；同时，继续支持老旧营运货车、新能源城市公交车、老旧农机报废更新。加上此前已下达的936亿元，今年已累计安排“两新”设备更新资金1851亿元，占全年2000亿元的92%。(证券时报)</w:t>
      </w: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一季度我国机器人出口实现开门红</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7日，据海关统计，今年一季度，我国机器人产业海外市场拓展步伐加快。各类单独列名的机器人合计出口额达113.2亿元，产品远销至全球148个国家和地区。从细分领域看，清洁机器人表现突出。作为今年新增的机器人税号类别，清洁机器人一季度出口货值达77.5亿元，占机器人出口总值的68.5%，已成为我国机器人出口的绝对主力。一季度，我国工业机器人出口达31.6亿元，同比增长42%。我国机器人产业正加速实现从单一产品输出向“技术+方案+服务”的综合输出转型，日益壮大的产业规模与不断延伸的应用触角，正让机器人成为中国外贸的一张“新名片”。(新华社)</w:t>
      </w:r>
    </w:p>
    <w:p w14:paraId="43A9EA19">
      <w:pPr>
        <w:spacing w:line="360" w:lineRule="auto"/>
        <w:jc w:val="left"/>
        <w:rPr>
          <w:rFonts w:hint="eastAsia" w:ascii="Times New Roman" w:hAnsi="Times New Roman" w:eastAsia="仿宋" w:cs="Times New Roman"/>
          <w:sz w:val="32"/>
          <w:szCs w:val="24"/>
          <w:highlight w:val="none"/>
          <w:lang w:val="en-US" w:eastAsia="zh-CN"/>
        </w:rPr>
      </w:pPr>
    </w:p>
    <w:p w14:paraId="1BA827A9">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p>
    <w:p w14:paraId="2644C55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全国首部具身智能机器人地方性法规实施</w:t>
      </w:r>
    </w:p>
    <w:p w14:paraId="0CC4D70F">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1日，《杭州市促进具身智能机器人产业发展条例》（以下简称《条例》）正式施行。这是全国首部聚焦具身智能机器人领域的地方性法规。具身智能被视为连接数字世界与物理世界的桥梁。国务院发展研究中心发布的《中国发展报告2025》指出，具身智能是继计算机、智能手机、新能源汽车之后的又一个万亿级产业赛道，预计2035年市场规模将突破万亿元。新年伊始，无论是春晚舞台上惊艳观众的宇树科技机器人，还是德国总理默茨率商界“天团”到访杭州，让杭州的具身智能机器人一次次站上世界舞台。数据显示，杭州已集聚机器人产业相关企业700余家，2025年具身智能产业集群产值达1068亿元。其中，四足机器人、人形机器人领域的国内市场份额分别占80%、50%。（界面新闻）</w:t>
      </w:r>
    </w:p>
    <w:p w14:paraId="16D8ABEC">
      <w:pPr>
        <w:spacing w:line="360" w:lineRule="auto"/>
        <w:jc w:val="left"/>
        <w:rPr>
          <w:rFonts w:hint="eastAsia" w:ascii="Times New Roman" w:hAnsi="Times New Roman" w:eastAsia="仿宋" w:cs="Times New Roman"/>
          <w:sz w:val="32"/>
          <w:szCs w:val="24"/>
          <w:highlight w:val="none"/>
          <w:lang w:val="en-US" w:eastAsia="zh-CN"/>
        </w:rPr>
      </w:pPr>
    </w:p>
    <w:p w14:paraId="50FB3B0B">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4月全国乘用车厂商新能源批发预估122万辆，同比增长7%</w:t>
      </w:r>
    </w:p>
    <w:p w14:paraId="392183C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7日，乘联分会发布2026年4月新能源乘用车厂商批发销量快讯。据初步汇总测算2026年4月，全国乘用车厂商新能源批发达122万辆，同比增长7%、环比增长7%，实现双重增长，行业复苏势头初显。随着近期主力车企的电动化突破和部分爆款新品的推出，带动4月涌现很多创当月历史新高的主力厂商。（财联社）</w:t>
      </w: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Anthropic承诺投入2000亿美元，采购谷歌云服务与芯片</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6日，据知情人士对媒体爆料，人工智能初创公司Anthropic已承诺在未来五年内向谷歌支付2000亿美元以使用其云服务器和芯片，这是该公司最近达成的一项协议的一部分。业内估计，Anthropic的交易占谷歌上周财报会议中披露的未来收入承诺的40%以上。而Anthropic和OpenAI收到的订单目前占到美国主要云服务提供商积压订单的一半以上，规模约1万亿美元。云服务提供商是人工智能热潮的早期受益者，他们押注AI初创公司在发展过程中对算力资源的需求将带来丰厚的回报。到目前为止，这一判断是正确的。此前的预测估计，2026年，OpenAI的服务器成本可能达到450亿美元，Anthropic的服务器成本可能达到200亿美元。（Donews）</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三星宣布停止在中国大陆市场销售所有家电产品</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6日，三星电子官网发布通知称，为应对急剧变化的市场环境，经慎重研究，三星电子决定在中国大陆市场停止销售含电视、显示器在内的所有家电产品.针对已购买三星家电产品的用户，公司仍将严格按照《消费者权益保护法》、国家三包规定等相关法律法规，继续为用户提供规范的售后服务，保障用户合法权益不受影响。（财联社）</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大族激光取得光纤拉制设备相关专利，可快速提拉丝速度，灵活控速提质量效率</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8日，国家知识产权局信息显示，大族激光科技产业集团股份有限公司申请一项名为“光纤的拉制设备及方法”的专利，授权公告号CN116495988B，授权公告日为2026年5月1日。申请公布号为CN116495988A，申请号为CN202310496741.2，申请公布日期为2026年5月1日，申请日期为2023年5月5日，发明人杜明、黄苏梅、李静、庄宏洲、洪晓钦、叶嘉豪、彭斌，分类号C03B37/027、C03B37/03、C03C25/1065、C03C25/48。（证券之星）</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台湾高阶载板设备商叙丰企业挂牌上柜</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5月6日，中国台湾高阶载板设备商叙丰以每股128元新台币挂牌上柜。此前公开申购吸引逾40万人参与抽签，中签率仅0.21%。受资金追捧，挂牌首日股价强势表现，早盘以320.5元新台币（约69.45元人民币）高开，涨幅达150.39%，凸显市场对其成长前景的高度关注。（南方网）</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生益科技：预计全年新增覆铜板产能约2850万平方米</w:t>
      </w:r>
    </w:p>
    <w:p w14:paraId="278F94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5月7日，生益科技董事长陈仁喜在业绩说明会上介绍，公司新投产项目包括江西二期、常熟及泰国项目，这些项目在陆续投产中，全部投产后，预计全年新增覆铜板产能约2850万平方米（约2280万张）。松山湖高性能覆铜板项目，投资总额约52亿元，预计年产能4800万平方米（约3840万张）及10000万米商品粘结片,分两期建设，预计2026年下半年启动。（</w:t>
      </w:r>
      <w:r>
        <w:rPr>
          <w:rFonts w:hint="eastAsia" w:ascii="Times New Roman" w:hAnsi="Times New Roman" w:eastAsia="仿宋" w:cs="Times New Roman"/>
          <w:sz w:val="32"/>
          <w:szCs w:val="24"/>
          <w:highlight w:val="none"/>
          <w:lang w:val="en-US" w:eastAsia="zh-CN"/>
        </w:rPr>
        <w:t>光纤在线）</w:t>
      </w:r>
    </w:p>
    <w:p w14:paraId="22417B2E">
      <w:pPr>
        <w:spacing w:line="360" w:lineRule="auto"/>
        <w:jc w:val="left"/>
        <w:rPr>
          <w:rFonts w:hint="eastAsia" w:ascii="Times New Roman" w:hAnsi="Times New Roman" w:eastAsia="仿宋" w:cs="Times New Roman"/>
          <w:sz w:val="32"/>
          <w:szCs w:val="24"/>
          <w:highlight w:val="none"/>
          <w:lang w:val="en-US" w:eastAsia="zh-CN"/>
        </w:rPr>
      </w:pPr>
    </w:p>
    <w:p w14:paraId="4D130065">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富乐德长江（合肥）半导体材料有限公司半导体项目正式举行奠基仪式</w:t>
      </w:r>
    </w:p>
    <w:p w14:paraId="75F646C9">
      <w:pPr>
        <w:spacing w:line="360" w:lineRule="auto"/>
        <w:ind w:firstLine="640" w:firstLineChars="200"/>
        <w:jc w:val="left"/>
        <w:rPr>
          <w:rFonts w:hint="default" w:ascii="Times New Roman" w:hAnsi="Times New Roman" w:eastAsia="仿宋" w:cs="Times New Roman"/>
          <w:kern w:val="0"/>
          <w:sz w:val="24"/>
          <w:szCs w:val="24"/>
          <w:lang w:val="en-US" w:eastAsia="zh-CN" w:bidi="ar"/>
        </w:rPr>
      </w:pPr>
      <w:r>
        <w:rPr>
          <w:rFonts w:hint="eastAsia" w:ascii="Times New Roman" w:hAnsi="Times New Roman" w:eastAsia="仿宋" w:cs="Times New Roman"/>
          <w:b w:val="0"/>
          <w:bCs w:val="0"/>
          <w:sz w:val="32"/>
          <w:szCs w:val="24"/>
          <w:highlight w:val="none"/>
          <w:lang w:val="en-US" w:eastAsia="zh-CN"/>
        </w:rPr>
        <w:t>5月2日</w:t>
      </w:r>
      <w:bookmarkStart w:id="0" w:name="_GoBack"/>
      <w:bookmarkEnd w:id="0"/>
      <w:r>
        <w:rPr>
          <w:rFonts w:hint="eastAsia" w:ascii="Times New Roman" w:hAnsi="Times New Roman" w:eastAsia="仿宋" w:cs="Times New Roman"/>
          <w:b w:val="0"/>
          <w:bCs w:val="0"/>
          <w:sz w:val="32"/>
          <w:szCs w:val="24"/>
          <w:highlight w:val="none"/>
          <w:lang w:val="en-US" w:eastAsia="zh-CN"/>
        </w:rPr>
        <w:t>，富乐德长江（合肥）半导体材料有限公司半导体12寸晶圆再生项目在合肥市新站高新技术产业开发区正式举行奠基仪式。据悉，该项目系富乐德长江半导体在合肥新站高新区的重点布局，选址于新站高新区大禹中路与梅冲湖路交口西南侧，规划用地约132亩，总投资规模达20亿元人民币，分两期推进建设，其中一期投资约10亿元。根据规划，项目一期达产后，将形成每月约30万片12寸晶圆的再生处理产能，预计可实现年营收4亿元；待项目全面达产后，月产能将提升至70万片，整体年营收有望突破8亿元，将进一步扩大我国大尺寸晶圆再生产业规模。</w:t>
      </w:r>
      <w:r>
        <w:rPr>
          <w:rFonts w:hint="eastAsia" w:ascii="Times New Roman" w:hAnsi="Times New Roman" w:eastAsia="仿宋" w:cs="Times New Roman"/>
          <w:sz w:val="32"/>
          <w:szCs w:val="24"/>
          <w:highlight w:val="none"/>
          <w:lang w:val="en-US" w:eastAsia="zh-CN"/>
        </w:rPr>
        <w:t>（WIND）</w:t>
      </w:r>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5"/>
                    <a:stretch>
                      <a:fillRect/>
                    </a:stretch>
                  </pic:blipFill>
                  <pic:spPr>
                    <a:xfrm>
                      <a:off x="0" y="0"/>
                      <a:ext cx="5273675" cy="3503295"/>
                    </a:xfrm>
                    <a:prstGeom prst="rect">
                      <a:avLst/>
                    </a:prstGeom>
                  </pic:spPr>
                </pic:pic>
              </a:graphicData>
            </a:graphic>
          </wp:inline>
        </w:drawing>
      </w: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a:stretch>
                      <a:fillRect/>
                    </a:stretch>
                  </pic:blipFill>
                  <pic:spPr>
                    <a:xfrm>
                      <a:off x="0" y="0"/>
                      <a:ext cx="1187450" cy="1168400"/>
                    </a:xfrm>
                    <a:prstGeom prst="rect">
                      <a:avLst/>
                    </a:prstGeom>
                    <a:noFill/>
                    <a:ln>
                      <a:noFill/>
                    </a:ln>
                  </pic:spPr>
                </pic:pic>
              </a:graphicData>
            </a:graphic>
          </wp:inline>
        </w:drawing>
      </w:r>
    </w:p>
    <w:p w14:paraId="077ACD8E"/>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45F663E"/>
    <w:rsid w:val="06B47FC9"/>
    <w:rsid w:val="071C1AB9"/>
    <w:rsid w:val="07DD40F6"/>
    <w:rsid w:val="0E73679E"/>
    <w:rsid w:val="0FAD6545"/>
    <w:rsid w:val="0FC0235B"/>
    <w:rsid w:val="10CF4D8A"/>
    <w:rsid w:val="1CDA2E0B"/>
    <w:rsid w:val="21A55BAC"/>
    <w:rsid w:val="21A60DC4"/>
    <w:rsid w:val="225C17EC"/>
    <w:rsid w:val="25AF1BE4"/>
    <w:rsid w:val="25B55B0A"/>
    <w:rsid w:val="25EE16C9"/>
    <w:rsid w:val="264A2919"/>
    <w:rsid w:val="266175BF"/>
    <w:rsid w:val="27003495"/>
    <w:rsid w:val="28C049EA"/>
    <w:rsid w:val="29163431"/>
    <w:rsid w:val="2B767FBE"/>
    <w:rsid w:val="2BF15CE7"/>
    <w:rsid w:val="2D364384"/>
    <w:rsid w:val="2DC669A6"/>
    <w:rsid w:val="2E4775E3"/>
    <w:rsid w:val="315179C6"/>
    <w:rsid w:val="33274995"/>
    <w:rsid w:val="33C137F8"/>
    <w:rsid w:val="38AD19AF"/>
    <w:rsid w:val="39431EEE"/>
    <w:rsid w:val="3A522D3D"/>
    <w:rsid w:val="3A6D2312"/>
    <w:rsid w:val="3B265F2E"/>
    <w:rsid w:val="3ED15FEF"/>
    <w:rsid w:val="3EDF266A"/>
    <w:rsid w:val="3F233925"/>
    <w:rsid w:val="3FDD3C4F"/>
    <w:rsid w:val="45F31C63"/>
    <w:rsid w:val="4B543446"/>
    <w:rsid w:val="50EA418D"/>
    <w:rsid w:val="510C0237"/>
    <w:rsid w:val="521E7BC5"/>
    <w:rsid w:val="52793D86"/>
    <w:rsid w:val="53A662DF"/>
    <w:rsid w:val="53AD3873"/>
    <w:rsid w:val="557B2A48"/>
    <w:rsid w:val="57F01B04"/>
    <w:rsid w:val="596C1A28"/>
    <w:rsid w:val="59E7637A"/>
    <w:rsid w:val="61E21505"/>
    <w:rsid w:val="624D40D3"/>
    <w:rsid w:val="62E354DE"/>
    <w:rsid w:val="632528C9"/>
    <w:rsid w:val="642D34F2"/>
    <w:rsid w:val="64592EAE"/>
    <w:rsid w:val="65326415"/>
    <w:rsid w:val="65FB0E53"/>
    <w:rsid w:val="68D47E6F"/>
    <w:rsid w:val="692244D0"/>
    <w:rsid w:val="6968585F"/>
    <w:rsid w:val="6A19339F"/>
    <w:rsid w:val="6BCE176C"/>
    <w:rsid w:val="6D8365BD"/>
    <w:rsid w:val="6E2A4350"/>
    <w:rsid w:val="6E3E1339"/>
    <w:rsid w:val="6F0F1346"/>
    <w:rsid w:val="6F57027E"/>
    <w:rsid w:val="6F7810F5"/>
    <w:rsid w:val="71313AC1"/>
    <w:rsid w:val="72DB7A02"/>
    <w:rsid w:val="72DE08AE"/>
    <w:rsid w:val="772054B7"/>
    <w:rsid w:val="77B64349"/>
    <w:rsid w:val="78404F59"/>
    <w:rsid w:val="78D0113A"/>
    <w:rsid w:val="79120DC0"/>
    <w:rsid w:val="7C007CD6"/>
    <w:rsid w:val="7C6C3669"/>
    <w:rsid w:val="7DC1685E"/>
    <w:rsid w:val="7E4839B7"/>
    <w:rsid w:val="7F726CC2"/>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2901</Words>
  <Characters>3275</Characters>
  <Lines>0</Lines>
  <Paragraphs>0</Paragraphs>
  <TotalTime>192</TotalTime>
  <ScaleCrop>false</ScaleCrop>
  <LinksUpToDate>false</LinksUpToDate>
  <CharactersWithSpaces>3320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2026-05-08T05:32:13Z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2052-12.1.0.25865</vt:lpwstr>
  </property>
  <property fmtid="{D5CDD505-2E9C-101B-9397-08002B2CF9AE}" pid="4" name="ICV">
    <vt:lpwstr>48152D5B515A4A96BE447256CE684DE1_13</vt:lpwstr>
  </property>
</Properties>
</file>