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第137期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2026年5月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每周资讯|前4个月规上工业企业利润同比增长18.2%；德福科技拟斥资31亿元投建高端铜箔项目；澳</w:t>
      </w:r>
      <w:bookmarkStart w:id="0" w:name="_GoBack"/>
      <w:bookmarkEnd w:id="0"/>
      <w:r>
        <w:rPr>
          <w:rFonts w:hint="eastAsia" w:ascii="Arial" w:hAnsi="Arial" w:eastAsia="黑体" w:cs="Times New Roman"/>
          <w:b/>
          <w:kern w:val="2"/>
          <w:sz w:val="32"/>
          <w:szCs w:val="24"/>
          <w:highlight w:val="none"/>
          <w:lang w:val="en-US" w:eastAsia="zh-CN" w:bidi="ar-SA"/>
        </w:rPr>
        <w:t>弘电子泰国工厂正式开业..</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0DFDEF22">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2026年1-4月我国全行业对外直接投资4294.2亿元</w:t>
      </w:r>
    </w:p>
    <w:p w14:paraId="3EDDAD50">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26日,据商务部网站消息，据商务部、外汇局统计，2026年1-4月，我国全行业对外直接投资4294.2亿元人民币，同比增长3.9%(以美元计为619.9亿美元，增长7.7%)。其中，我国境内投资者共对全球142个国家和地区的5231家境外企业进行了非金融类直接投资，累计投资3157.4亿元人民币，下降13.9%(以美元计为455.8亿美元，下降10.7%)。（商务部）</w:t>
      </w:r>
    </w:p>
    <w:p w14:paraId="6B5FF9C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p>
    <w:p w14:paraId="3EEB491E">
      <w:pPr>
        <w:spacing w:line="360" w:lineRule="auto"/>
        <w:jc w:val="left"/>
        <w:rPr>
          <w:rFonts w:hint="default" w:ascii="Times New Roman" w:hAnsi="Times New Roman" w:eastAsia="仿宋" w:cs="Times New Roman"/>
          <w:sz w:val="32"/>
          <w:szCs w:val="24"/>
          <w:highlight w:val="none"/>
          <w:lang w:val="en-US" w:eastAsia="zh-CN"/>
        </w:rPr>
      </w:pPr>
    </w:p>
    <w:p w14:paraId="3A30106E">
      <w:pPr>
        <w:spacing w:line="360" w:lineRule="auto"/>
        <w:ind w:firstLine="640" w:firstLineChars="200"/>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2026年亚太经合组织贸易部长会议在苏州举行</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5月25日，商务部部长王文涛在苏州会见来华参加亚太经合组织（APEC）贸易部长会议的联合国贸发会议代理秘书长马雷诺，双方就全球经贸形势、深化务实合作等交换意见。王文涛强调，“十五五”规划纲要擘画了中国未来发展的宏伟蓝图，对扩大高水平对外开放、维护多边贸易体制、践行真正的多边主义作出了重要部署。中方愿与包括贸发会议在内的各方一道，共同推动构建和维护公平公正、开放包容、合作共赢的国际经贸秩序。(证券时报)</w:t>
      </w:r>
    </w:p>
    <w:p w14:paraId="445F0B5B">
      <w:pPr>
        <w:spacing w:line="360" w:lineRule="auto"/>
        <w:ind w:firstLine="640" w:firstLineChars="200"/>
        <w:jc w:val="left"/>
        <w:rPr>
          <w:rFonts w:hint="eastAsia" w:ascii="Times New Roman" w:hAnsi="Times New Roman" w:eastAsia="仿宋" w:cs="Times New Roman"/>
          <w:sz w:val="32"/>
          <w:szCs w:val="24"/>
          <w:lang w:val="en-US" w:eastAsia="zh-CN"/>
        </w:rPr>
      </w:pPr>
    </w:p>
    <w:p w14:paraId="24BC51B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“六张网”路线图将出，三大核心产业链掘金万亿级赛道</w:t>
      </w:r>
    </w:p>
    <w:p w14:paraId="43D5ECBE">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25日，据经济参考报，中央政治局会议、国务院常务会议等重磅会议点名的“六张网”，近期将迎来建设“时间表”“任务书”。包括制造与基础装备、数智与通信基础设施、能源与城市安全配套等在内的三大核心产业链有望掘金万亿级投资机遇。当前我国正抓紧出台“六张网”相关规划和实施方案，仅2026年“六张网”及相关重点领域建设投资规模就将超过7万亿元。（经济参考报）</w:t>
      </w:r>
    </w:p>
    <w:p w14:paraId="699A251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前4个月规上工业企业利润同比增长18.2%</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28日，国家统计局5月27日发布数据显示，1—4月份，全国规模以上工业企业利润同比增长18.2%。其中，4月份，全国规模以上工业企业利润增长24.7%。“1—4月份，各地区各部门有效实施更加积极有为的宏观政策，工业生产较快增长，工业品价格回升，带动工业企业利润增长加快，装备制造业和高技术制造业等新动能行业引领作用明显，工业企业效益持续改善。”国家统计局工业司首席统计师于卫宁表示，下阶段，要强化宏观政策调节，持续扩大内需、优化供给，进一步做强国内大循环，做优国内国际双循环，推动工业经济持续健康发展。(国家统计局)</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1BA827A9">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国家能源局：截至4月底，全国累计发电装机容量39.9亿千瓦，同比增长14.2%</w:t>
      </w:r>
    </w:p>
    <w:p w14:paraId="16D8ABEC">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25日，国家能源局发布1—4月份全国电力统计数据。截至4月底，全国累计发电装机容量39.9亿千瓦，同比增长14.2%。其中，太阳能发电装机容量12.5亿千瓦，同比增长26.2%；风电装机容量6.6亿千瓦，同比增长22.0%。1—4月份，全国发电设备累计平均利用925小时，比上年同期降低84小时。（每日经济新闻）</w:t>
      </w:r>
    </w:p>
    <w:p w14:paraId="47AF74BB">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52AC3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中国移动机器人加速出海，我国工业机器人出口量暴增九成</w:t>
      </w:r>
    </w:p>
    <w:p w14:paraId="70E2B55C">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 5月24日电，海关总署近日发布的数据显示，今年以来，我国工业机器人出口表现强劲，其中4月份单月出口量突破2.5万台，同比增长接近90%，其中，移动机器人展现出强大的竞争力。从国产移动机器人的出口地域看，欧美和亚太地区电商、零售、第三方物流行业成熟，对仓储自动化的需求迫切，客户技术付费意愿较强。同时，以东南亚、中东为代表的新兴市场，自动化基础设施的需求也创造了巨大的市场机遇。数据显示，中国移动机器人出口订单占比从2022年的25.87%，快速攀升至2024年的37.12%，2025年已突破40%。中国移动机器人的竞争力源于国内领先的电商和物流场景孵化出的能力，目前正加速实现从单一产品输出转向“技术+方案+服务”的综合输出。（海关总署）</w:t>
      </w:r>
    </w:p>
    <w:p w14:paraId="2E60B946">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长鑫科技科创板IPO获上交所上市委审议通过</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27日，长鑫科技科创板IPO申请通过上交所上市委审议，符合发行条件、上市条件和信息披露要求。招股说明书（上会稿）披露的信息显示，长鑫科技是我国规模最大、技术最先进、布局最全的DRAM研发设计制造一体化企业。按2025年第四季度DRAM销售额统计，长鑫科技的全球市场份额已增至7.67%，紧随三星电子、SK海力士和美光科技之后。本次科创板IPO，长鑫科技计划募集资金295亿元投向存储器晶圆制造量产线技术升级改造、DRAM存储器技术升级和动态随机存取存储器前瞻技术研究与开发三个项目。（证券时报）</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消息称台积电3纳米下半年涨价15%，明年或再涨10%</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27日，据《科创板日报》，供应链消息称，台积电计划于下半年再度上调3纳米制程报价，涨幅最高达15%，明年可能进一步上涨5%至10%。这一轮涨价并非单一客户拉货所致，而是AI时代先进制程供需结构发生根本性转变的集中体现。ASIC业者指出，过去3纳米制程的主要支撑来自智能手机SoC，需求结构相对单一。（科创板日报）</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华为“韬（τ）定律”构建半导体发展新范式</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5月26日 ，华为正式发布半导体领域“韬（τ）定律”，提出以“时间缩微”替代“几何缩微”，通过逻辑折叠等创新技术，持续压缩信号传播时延，不断提升晶体管密度，从而实现半导体与电子系统的持续演进。这是中国在全球半导体领域首次提出指导产业发展的新原则。华为预计，到2031年，基于“韬定律”的高端芯片晶体管密度有望达到1.4纳米制程的同等水平。（证券时报）</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德福科技：拟斥资31亿元投建5万吨高端AI电子电路铜箔项目</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27日晚，九江德福科技股份有限公司对外披露了一项重大的产能扩张计划。在全球人工智能产业高速发展、底层硬件需求持续爆发的背景下，德福科技果断落子，宣布拟与九江经济技术开发区管理委员会签订《招商项目合同书》。根据公告内容，公司计划总投资约31亿元人民币，用于建设年产5万吨高端AI电子电路铜箔项目。这一动作不仅彰显了公司对高端电子材料市场的坚定信心，也标志着其在核心产业链升级上迈出了关键性的一步。（南方网）</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大族激光：战略收购液冷方案商安腾创新</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5月27日，据企查查，近期数据中心液冷方案商深圳安腾创新科技完成股权变更，由大族激光科技产业集团100%持股，且结合公司近况点评如下。我们继续坚定看好公司新一轮AI端侧与算力共振的向上周期，尤其是PCB、3D打印设备先后放量，再叠加液冷加速布局，光纤和玻璃基/陶瓷基等方向的前瞻卡位，具有超预期兑现潜力，重申重点推荐。（</w:t>
      </w:r>
      <w:r>
        <w:rPr>
          <w:rFonts w:hint="eastAsia" w:ascii="Times New Roman" w:hAnsi="Times New Roman" w:eastAsia="仿宋" w:cs="Times New Roman"/>
          <w:sz w:val="32"/>
          <w:szCs w:val="24"/>
          <w:highlight w:val="none"/>
          <w:lang w:val="en-US" w:eastAsia="zh-CN"/>
        </w:rPr>
        <w:t>光纤在线）</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澳弘电子泰国工厂正式开业</w:t>
      </w:r>
    </w:p>
    <w:p w14:paraId="75F646C9">
      <w:pPr>
        <w:spacing w:line="360" w:lineRule="auto"/>
        <w:ind w:firstLine="640" w:firstLineChars="200"/>
        <w:jc w:val="left"/>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b w:val="0"/>
          <w:bCs w:val="0"/>
          <w:sz w:val="32"/>
          <w:szCs w:val="24"/>
          <w:highlight w:val="none"/>
          <w:lang w:val="en-US" w:eastAsia="zh-CN"/>
        </w:rPr>
        <w:t>5月26日，澳弘电子（泰国）有限公司开业典礼隆重举行！这是澳弘电子全球化布局的里程碑时刻，标志着公司正式开启立足东南亚、辐射全球市场的崭新征程。开业现场嘉宾云集、高朋满座。泰国当地政府、工业园区相关代表、中国电子电路行业协会（CPCA）领导、全球客户与供应商伙伴代表、项目建设方代表及澳弘电子中泰员工齐聚现场，共同见证这一里程碑时刻。</w:t>
      </w:r>
      <w:r>
        <w:rPr>
          <w:rFonts w:hint="eastAsia" w:ascii="Times New Roman" w:hAnsi="Times New Roman" w:eastAsia="仿宋" w:cs="Times New Roman"/>
          <w:sz w:val="32"/>
          <w:szCs w:val="24"/>
          <w:highlight w:val="none"/>
          <w:lang w:val="en-US" w:eastAsia="zh-CN"/>
        </w:rPr>
        <w:t>（WIND）</w:t>
      </w:r>
    </w:p>
    <w:p w14:paraId="1961B37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01CB4597">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0AA2B01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1D2A5CA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0B8BC8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646FC81E">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B4D5C7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908F830">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7E20A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6CE98F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C49720F">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40C961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53B1681">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4918E87">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5"/>
                    <a:stretch>
                      <a:fillRect/>
                    </a:stretch>
                  </pic:blipFill>
                  <pic:spPr>
                    <a:xfrm>
                      <a:off x="0" y="0"/>
                      <a:ext cx="1187450" cy="1168400"/>
                    </a:xfrm>
                    <a:prstGeom prst="rect">
                      <a:avLst/>
                    </a:prstGeom>
                    <a:noFill/>
                    <a:ln>
                      <a:noFill/>
                    </a:ln>
                  </pic:spPr>
                </pic:pic>
              </a:graphicData>
            </a:graphic>
          </wp:inline>
        </w:drawing>
      </w:r>
    </w:p>
    <w:p w14:paraId="077ACD8E">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6"/>
                    <a:stretch>
                      <a:fillRect/>
                    </a:stretch>
                  </pic:blipFill>
                  <pic:spPr>
                    <a:xfrm>
                      <a:off x="0" y="0"/>
                      <a:ext cx="5273675" cy="3503295"/>
                    </a:xfrm>
                    <a:prstGeom prst="rect">
                      <a:avLst/>
                    </a:prstGeom>
                  </pic:spPr>
                </pic:pic>
              </a:graphicData>
            </a:graphic>
          </wp:inline>
        </w:drawing>
      </w:r>
    </w:p>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CB1267E"/>
    <w:rsid w:val="0E0A67C5"/>
    <w:rsid w:val="0E73679E"/>
    <w:rsid w:val="0FA436B7"/>
    <w:rsid w:val="0FAD6545"/>
    <w:rsid w:val="0FC0235B"/>
    <w:rsid w:val="10CF4D8A"/>
    <w:rsid w:val="164B0998"/>
    <w:rsid w:val="16E96798"/>
    <w:rsid w:val="1CDA2E0B"/>
    <w:rsid w:val="21A55BAC"/>
    <w:rsid w:val="21A60DC4"/>
    <w:rsid w:val="225C17EC"/>
    <w:rsid w:val="236405A0"/>
    <w:rsid w:val="25AF1BE4"/>
    <w:rsid w:val="25B55B0A"/>
    <w:rsid w:val="25EE16C9"/>
    <w:rsid w:val="264A2919"/>
    <w:rsid w:val="266175BF"/>
    <w:rsid w:val="27003495"/>
    <w:rsid w:val="28C049EA"/>
    <w:rsid w:val="29163431"/>
    <w:rsid w:val="29EF0897"/>
    <w:rsid w:val="2B767FBE"/>
    <w:rsid w:val="2BF15CE7"/>
    <w:rsid w:val="2D364384"/>
    <w:rsid w:val="2DC669A6"/>
    <w:rsid w:val="2E4775E3"/>
    <w:rsid w:val="2EDE3EE6"/>
    <w:rsid w:val="315179C6"/>
    <w:rsid w:val="33274995"/>
    <w:rsid w:val="33A475BE"/>
    <w:rsid w:val="33C137F8"/>
    <w:rsid w:val="369A381C"/>
    <w:rsid w:val="36ED7D2B"/>
    <w:rsid w:val="381216B5"/>
    <w:rsid w:val="38AD19AF"/>
    <w:rsid w:val="39431EEE"/>
    <w:rsid w:val="39F27144"/>
    <w:rsid w:val="3A522D3D"/>
    <w:rsid w:val="3A6D2312"/>
    <w:rsid w:val="3B265F2E"/>
    <w:rsid w:val="3B766568"/>
    <w:rsid w:val="3ED15FEF"/>
    <w:rsid w:val="3EDF266A"/>
    <w:rsid w:val="3F233925"/>
    <w:rsid w:val="3FDD3C4F"/>
    <w:rsid w:val="44BD69EB"/>
    <w:rsid w:val="456055DE"/>
    <w:rsid w:val="45F31C63"/>
    <w:rsid w:val="461343DB"/>
    <w:rsid w:val="4B4134FD"/>
    <w:rsid w:val="4B543446"/>
    <w:rsid w:val="4E4364C2"/>
    <w:rsid w:val="50EA418D"/>
    <w:rsid w:val="510C0237"/>
    <w:rsid w:val="521E7BC5"/>
    <w:rsid w:val="52793D86"/>
    <w:rsid w:val="536C7C6B"/>
    <w:rsid w:val="53A662DF"/>
    <w:rsid w:val="53AD3873"/>
    <w:rsid w:val="53CF538E"/>
    <w:rsid w:val="557B2A48"/>
    <w:rsid w:val="55DB0099"/>
    <w:rsid w:val="57F01B04"/>
    <w:rsid w:val="596C1A28"/>
    <w:rsid w:val="59E7637A"/>
    <w:rsid w:val="59EE1099"/>
    <w:rsid w:val="5CF95551"/>
    <w:rsid w:val="5D9615A2"/>
    <w:rsid w:val="61863437"/>
    <w:rsid w:val="61E21505"/>
    <w:rsid w:val="624D40D3"/>
    <w:rsid w:val="62E354DE"/>
    <w:rsid w:val="632528C9"/>
    <w:rsid w:val="642D34F2"/>
    <w:rsid w:val="64592EAE"/>
    <w:rsid w:val="65326415"/>
    <w:rsid w:val="65605C5F"/>
    <w:rsid w:val="65AE7F5D"/>
    <w:rsid w:val="65FB0E53"/>
    <w:rsid w:val="66452A5A"/>
    <w:rsid w:val="678149E0"/>
    <w:rsid w:val="68BE0B64"/>
    <w:rsid w:val="68D47E6F"/>
    <w:rsid w:val="692244D0"/>
    <w:rsid w:val="6968585F"/>
    <w:rsid w:val="6A19339F"/>
    <w:rsid w:val="6BCE176C"/>
    <w:rsid w:val="6D07449C"/>
    <w:rsid w:val="6D8365BD"/>
    <w:rsid w:val="6E2A4350"/>
    <w:rsid w:val="6E3E1339"/>
    <w:rsid w:val="6F0F1346"/>
    <w:rsid w:val="6F57027E"/>
    <w:rsid w:val="6F7810F5"/>
    <w:rsid w:val="71313AC1"/>
    <w:rsid w:val="72DB7A02"/>
    <w:rsid w:val="72DE08AE"/>
    <w:rsid w:val="72EE6ECA"/>
    <w:rsid w:val="73A51C06"/>
    <w:rsid w:val="752B4467"/>
    <w:rsid w:val="772054B7"/>
    <w:rsid w:val="77B64349"/>
    <w:rsid w:val="78404F59"/>
    <w:rsid w:val="78D0113A"/>
    <w:rsid w:val="79120DC0"/>
    <w:rsid w:val="7B086666"/>
    <w:rsid w:val="7B870239"/>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2626</Words>
  <Characters>2926</Characters>
  <Lines>0</Lines>
  <Paragraphs>0</Paragraphs>
  <TotalTime>46</TotalTime>
  <ScaleCrop>false</ScaleCrop>
  <LinksUpToDate>false</LinksUpToDate>
  <CharactersWithSpaces>2980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2026-05-28T02:51:15Z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2052-12.1.0.26375</vt:lpwstr>
  </property>
  <property fmtid="{D5CDD505-2E9C-101B-9397-08002B2CF9AE}" pid="4" name="ICV">
    <vt:lpwstr>D412C830D52B428989F304E5CA5F0D79_13</vt:lpwstr>
  </property>
</Properties>
</file>