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E361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华文楷体" w:hAnsi="华文楷体" w:eastAsia="华文楷体" w:cs="华文楷体"/>
          <w:b/>
          <w:bCs/>
          <w:snapToGrid w:val="0"/>
          <w:color w:val="548235" w:themeColor="accent6" w:themeShade="BF"/>
          <w:kern w:val="0"/>
          <w:sz w:val="28"/>
          <w:szCs w:val="28"/>
          <w:lang w:val="en-US" w:eastAsia="zh-CN" w:bidi="ar"/>
        </w:rPr>
      </w:pPr>
    </w:p>
    <w:p w14:paraId="287E5B2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仿宋" w:cs="Times New Roman"/>
          <w:color w:val="04AC5C"/>
          <w:sz w:val="32"/>
          <w:szCs w:val="24"/>
          <w:lang w:val="en-US"/>
        </w:rPr>
      </w:pPr>
      <w:r>
        <w:rPr>
          <w:rFonts w:hint="eastAsia" w:ascii="华文楷体" w:hAnsi="华文楷体" w:eastAsia="华文楷体" w:cs="华文楷体"/>
          <w:b/>
          <w:bCs/>
          <w:snapToGrid w:val="0"/>
          <w:color w:val="04AC5C"/>
          <w:kern w:val="0"/>
          <w:sz w:val="28"/>
          <w:szCs w:val="28"/>
          <w:lang w:val="en-US" w:eastAsia="zh-CN" w:bidi="ar"/>
        </w:rPr>
        <w:t>第141期</w:t>
      </w:r>
    </w:p>
    <w:p w14:paraId="62D56D6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Arial" w:hAnsi="Times New Roman" w:eastAsia="仿宋" w:cs="Times New Roman"/>
          <w:color w:val="04AC5C"/>
          <w:sz w:val="21"/>
          <w:szCs w:val="24"/>
          <w:lang w:val="en-US"/>
        </w:rPr>
      </w:pPr>
      <w:r>
        <w:rPr>
          <w:rFonts w:ascii="华文楷体" w:hAnsi="华文楷体" w:eastAsia="华文楷体" w:cs="华文楷体"/>
          <w:b/>
          <w:bCs/>
          <w:snapToGrid w:val="0"/>
          <w:color w:val="04AC5C"/>
          <w:kern w:val="0"/>
          <w:sz w:val="28"/>
          <w:szCs w:val="28"/>
          <w:u w:val="single" w:color="auto"/>
          <w:lang w:val="en-US" w:eastAsia="zh-CN" w:bidi="ar"/>
        </w:rPr>
        <w:t>信息部                                            2026年6月</w:t>
      </w:r>
    </w:p>
    <w:p w14:paraId="59B0599D">
      <w:pPr>
        <w:keepNext/>
        <w:keepLines/>
        <w:widowControl w:val="0"/>
        <w:numPr>
          <w:ilvl w:val="0"/>
          <w:numId w:val="0"/>
        </w:numPr>
        <w:bidi w:val="0"/>
        <w:spacing w:before="260" w:beforeLines="0" w:beforeAutospacing="0" w:after="260" w:afterLines="0" w:afterAutospacing="0" w:line="413" w:lineRule="auto"/>
        <w:jc w:val="left"/>
        <w:outlineLvl w:val="1"/>
        <w:rPr>
          <w:rFonts w:hint="default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每周资讯|：5月国内市场手机出货量同增16.5%；机构预测2026年中国人形机器人出货量预测上调至5万台；兴森科技拟加码mSAP及封装基板产能..</w:t>
      </w:r>
    </w:p>
    <w:p w14:paraId="03F497D5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jc w:val="left"/>
        <w:outlineLvl w:val="1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行业</w:t>
      </w:r>
    </w:p>
    <w:p w14:paraId="39787E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三部门印发《利用外资固稳促优行动方案》</w:t>
      </w:r>
    </w:p>
    <w:p w14:paraId="1E95CF83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6月22日，商务部、国家发展改革委、财政部联合印发《利用外资固稳促优行动方案》，国务院新闻办公室同日下午举行新闻发布会介绍有关情况。《行动方案》从扩大市场准入、提升外商投资便利度、提高投资促进水平、健全外商投资服务保障体系、优化外资管理等5个方面提出15条举措，强调在要素获取、资质许可、标准制定等方面保障外资企业国民待遇，引导外资投向生产性服务业和现代服务业，并鼓励外资企业在华设立地区总部、研发中心等功能性机构。国家发展改革委外资司负责人表示，将以制度型开放为重点，在产权保护、政府采购、金融等领域实现规则规制相容相通。分析人士认为，稳外资政策有助于改善外部宏观环境，为电子信息制造、高端装备等领域外资配套及本土供应链协同创造更稳定预期。（商务部）</w:t>
      </w:r>
    </w:p>
    <w:p w14:paraId="3A30106E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</w:p>
    <w:p w14:paraId="0EB309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前5个月全国一般公共预算收入同比增长4%</w:t>
      </w:r>
    </w:p>
    <w:p w14:paraId="07841AAF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6月22日，财政部发布数据显示，2026年前5个月，全国一般公共预算收入100465亿元，同比增长4%，增幅比前4个月提高0.5个百分点，收入向好态势继续巩固。其中，全国税收收入82617亿元，同比增长4.4%；非税收入17848亿元，同比增长2.2%。财政支出方面，前5个月全国一般公共预算支出113877亿元，同比增长0.8%，科学技术、节能环保等重点领域支出得到较好保障。财政部表示，将继续实施更加积极的财政政策，强化对科技创新、先进制造和绿色发展的财力保障，与适度宽松货币政策协同，支持实体经济特别是制造业平稳运行。（财政部）</w:t>
      </w:r>
    </w:p>
    <w:p w14:paraId="445F0B5B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</w:p>
    <w:p w14:paraId="24BC51B9">
      <w:pPr>
        <w:spacing w:line="240" w:lineRule="auto"/>
        <w:ind w:left="0" w:leftChars="0" w:firstLine="0" w:firstLineChars="0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五部门部署开展工业5G独立专网试点</w:t>
      </w:r>
    </w:p>
    <w:p w14:paraId="43D5ECBE">
      <w:pPr>
        <w:spacing w:line="240" w:lineRule="auto"/>
        <w:ind w:left="0" w:leftChars="0"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24日，据工业和信息化部消息，工业和信息化部、交通运输部、国务院国资委等五部门近日联合印发通知，部署开展工业5G独立专网试点，支持原材料、装备制造、消费品、电子信息、国防科技、能源交通等行业领域大型特大型企业建设独立专网，鼓励“5G+工业互联网”融合应用城市试点率先开展独立专网建设。试点内容包括部署基础设施、创新应用场景、建设管理平台、探索建设模式、做好安全保障等，提出积极挖掘高速传输、超低时延、通感一体、高精定位等5G/5G-A技术特性应用潜力，推动独立专网与工业生产深度融合。通知还要求加大对试点项目建设支持力度，培育独立专网设备、解决方案等服务供应商。分析人士指出，政策将带动5G模组、工业网关及配套PCB、通信设备需求。（工信部）</w:t>
      </w:r>
    </w:p>
    <w:p w14:paraId="699A251B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</w:p>
    <w:p w14:paraId="156C9588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ind w:left="0" w:leftChars="0" w:firstLine="0" w:firstLineChars="0"/>
        <w:jc w:val="left"/>
        <w:outlineLvl w:val="1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市场</w:t>
      </w:r>
    </w:p>
    <w:p w14:paraId="2C521472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中国信通院：5月国内市场手机出货量2763.9万部，同比增长16.5%</w:t>
      </w:r>
    </w:p>
    <w:p w14:paraId="43A9EA19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24日，中国信通院发布2026年5月国内手机市场运行分析报告。数据显示，5月国内市场手机出货量2763.9万部，同比增长16.5%；其中5G手机2622.4万部，同比增长23.8%，占同期手机出货量的94.9%。1—5月，国内市场手机出货量1.14亿部，同比下降3.6%；其中5G手机1.06亿部，同比增长4.2%，占同期手机出货量的93.2%。5月国产品牌手机出货量2397.0万部，同比增长25.0%，占同期手机出货量的86.7%。（中国信通院）</w:t>
      </w:r>
    </w:p>
    <w:p w14:paraId="1BA827A9">
      <w:pPr>
        <w:spacing w:line="240" w:lineRule="auto"/>
        <w:ind w:left="0" w:leftChars="0" w:firstLine="640" w:firstLineChars="200"/>
        <w:jc w:val="left"/>
        <w:rPr>
          <w:rFonts w:hint="default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2644C559">
      <w:pPr>
        <w:spacing w:line="240" w:lineRule="auto"/>
        <w:ind w:left="0" w:leftChars="0" w:firstLine="0" w:firstLineChars="0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乘联分会：6月1—21日新能源乘用车零售58.3万辆，零售渗透率63.8%</w:t>
      </w:r>
    </w:p>
    <w:p w14:paraId="16D8ABEC">
      <w:pPr>
        <w:spacing w:line="240" w:lineRule="auto"/>
        <w:ind w:left="0" w:leftChars="0"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24日，乘联分会发布数据显示，6月1—21日，全国乘用车市场新能源零售58.3万辆，同比去年6月同期下降10%，较上月同期增长11%，今年以来累计零售428.1万辆，同比下降14%；6月1—21日，全国乘用车厂商新能源批发67.3万辆，同比去年6月同期增长8%，较上月同期增长17%，今年以来累计批发597.9万辆，同比增长2%。6月1—21日，全国乘用车市场新能源零售渗透率63.8%，厂商新能源批发渗透率67.3%。（证券时报）</w:t>
      </w:r>
    </w:p>
    <w:p w14:paraId="4E914E51">
      <w:pPr>
        <w:spacing w:line="240" w:lineRule="auto"/>
        <w:ind w:left="0" w:leftChars="0"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5AD92B3D">
      <w:pPr>
        <w:spacing w:line="360" w:lineRule="auto"/>
        <w:ind w:firstLine="643" w:firstLineChars="200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摩根士丹利：2026年中国人形机器人出货量预测上调至5万台</w:t>
      </w:r>
    </w:p>
    <w:p w14:paraId="4804EA49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23日，摩根士丹利发布研究报告称，中国人形机器人行业从示范应用转向商业化部署的速度超出预期，将2026年中国人形机器人出货量预测从2.8万台大幅上调至5万台，几乎是此前预期的两倍，这是该行今年以来第二次翻倍上调相关预测。报告预计，2026年中国人形机器人市场规模将达20亿美元，到2030年将攀升至150亿美元，届时年出货量约44.6万台。据财联社报道，2026年上半年多个标志性商业订单相继落地，人形机器人在工厂产线、物流分拣及商业服务等场景应用持续扩展，行业正由展示演示阶段加速迈入早期商业化阶段。（财联社）</w:t>
      </w:r>
    </w:p>
    <w:p w14:paraId="511F491A">
      <w:pPr>
        <w:spacing w:line="240" w:lineRule="auto"/>
        <w:ind w:left="0" w:leftChars="0"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4D02DBEA">
      <w:pPr>
        <w:keepNext/>
        <w:keepLines/>
        <w:widowControl w:val="0"/>
        <w:numPr>
          <w:ilvl w:val="0"/>
          <w:numId w:val="1"/>
        </w:numPr>
        <w:bidi w:val="0"/>
        <w:spacing w:before="260" w:beforeLines="0" w:beforeAutospacing="0" w:after="260" w:afterLines="0" w:afterAutospacing="0" w:line="413" w:lineRule="auto"/>
        <w:ind w:left="0" w:leftChars="0" w:firstLine="0" w:firstLineChars="0"/>
        <w:jc w:val="left"/>
        <w:outlineLvl w:val="1"/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lang w:val="en-US" w:eastAsia="zh-CN" w:bidi="ar-SA"/>
        </w:rPr>
        <w:t>企业</w:t>
      </w:r>
    </w:p>
    <w:p w14:paraId="7BBFDE17">
      <w:pPr>
        <w:spacing w:line="360" w:lineRule="auto"/>
        <w:jc w:val="center"/>
        <w:rPr>
          <w:rFonts w:hint="default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兴森科技拟定增募资不超过39亿元，加码mSAP及封装基板产能</w:t>
      </w:r>
    </w:p>
    <w:p w14:paraId="03F24179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23日，兴森科技发布2026年度向特定对象发行A股股票预案，拟募集资金总额不超过39亿元，其中20亿元投向珠海兴森高阶mSAP基板智能制造及产业化项目（一期），11亿元投向珠海兴科集成电路封装基板项目（三期），其余用于补充流动资金及偿还银行贷款。预案显示，mSAP项目达产后将新增年产12万平方米基板产能，扩大光模块基板生产规模；封装基板三期达产后每月新增2.5万平方米产能，覆盖存储、汽车、射频等芯片基板类别。公司表示，在全球半导体需求增长带动下，亟需扩大封装基板产能以发挥规模效应。本次发行尚需股东会及监管程序批准。（中国证券报）</w:t>
      </w:r>
    </w:p>
    <w:p w14:paraId="62A5C3F7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3D7A82BE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骏亚科技拟15.57亿元投建高多层、HDI线路板项目</w:t>
      </w:r>
    </w:p>
    <w:p w14:paraId="4C8F5A4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22日晚间，骏亚科技公告称，公司拟在江西龙南现有厂房投资建设年产60万平方米高多层、HDI线路板项目，总投资15.57亿元，分两期实施，一期6.28亿元、二期9.29亿元，预计2026年第三季度启动建设。项目将购置数控钻机、LDI曝光机、DES蚀刻线、镭射机、VCP线等设备，建成后形成年产60万平方米高多层PCB生产能力，不涉及新增土地及基建。公司表示，此举旨在抓住全球科技产业供应链重构机遇，加大高端产品布局，优化产品结构，提升在高端市场的竞争优势及市场占有率。（新浪财经）</w:t>
      </w:r>
    </w:p>
    <w:p w14:paraId="68B21210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7CF2C053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广合科技拟60亿元投建东莞智造总部项目</w:t>
      </w:r>
    </w:p>
    <w:p w14:paraId="1961B372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22日晚间，广合科技公告称，拟与东莞水乡特色发展经济区管理委员会、东莞市麻涌镇人民政府签订投资协议，在东莞市水乡经济区麻涌镇投资建设“广合科技东莞智造总部项目”，项目投资总额60亿元，主要从事高端装备印制电路板研发、生产、制造及销售，其中固定资产投资50亿元，项目分两期建设。公司同日披露拟发行可转债募集资金不超过36亿元。广合科技表示，项目有助于完善产业布局，满足客户对高端PCB产能的持续增长需求，强化公司在算力、网络通信等赛道竞争力。（每日经济新闻）</w:t>
      </w:r>
    </w:p>
    <w:p w14:paraId="161761F8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01CB4597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沪电股份43亿元AI芯片配套PCB扩产项目有序推进</w:t>
      </w:r>
    </w:p>
    <w:p w14:paraId="2CE32163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24日，沪电股份发布投资者关系活动记录表表示，公司2024年第四季度规划投资约43亿元的人工智能芯片配套高端印制电路板扩产项目正有序推进，预期2026年下半年开始试产并逐步提升产能，以更好满足高速运算服务器、人工智能等新兴计算场景需求。6月21日，公司公告以2.07亿元收购昆山普江仓储设施有限公司100%股权，将相关厂房用于产能扩建，并拟吸收合并该全资子公司以优化管理架构。公司称，2026年第一季度已加速启动系列产能扩充计划，聚焦高阶PCB瓶颈制程迭代升级与靶向性产能扩充。（证券时报）</w:t>
      </w:r>
    </w:p>
    <w:p w14:paraId="1CBF58D8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7E5D4754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生益电子吉安算力板项目计划6月末试生产</w:t>
      </w:r>
    </w:p>
    <w:p w14:paraId="5782AC31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22日，生益电子发布投资者关系活动记录表公告，公司吉安智能制造高多层算力电路板项目规划年产能70万平方米，产品以平均16层高多层板为主，目前正在进行第一阶段设备采购及安装调试，计划2026年6月末开始试生产。东莞人工智能计算HDI生产基地建设项目主要生产5阶及以上高阶HDI板，达产后年产能16.72万平方米，已于2026年5月末正式开工建设，计划2028年试生产；泰国生产基地建设项目已完成厂房主体建筑封顶，计划于2026年下半年进行试生产。公司表示，客户储备丰富，已涵盖众多境内外头部AI客户，新客户认证进度良好。（科创板日报）</w:t>
      </w:r>
    </w:p>
    <w:p w14:paraId="407368CE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4F961920">
      <w:pPr>
        <w:spacing w:line="360" w:lineRule="auto"/>
        <w:jc w:val="center"/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黑体" w:cs="Times New Roman"/>
          <w:b/>
          <w:kern w:val="2"/>
          <w:sz w:val="32"/>
          <w:szCs w:val="24"/>
          <w:highlight w:val="none"/>
          <w:lang w:val="en-US" w:eastAsia="zh-CN" w:bidi="ar-SA"/>
        </w:rPr>
        <w:t>红板科技拟9亿元投建高阶HDI精密电路板生产线技改项目</w:t>
      </w:r>
    </w:p>
    <w:p w14:paraId="7D395D4C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  <w:t>6月24日，红板科技公告称，全资子公司赣州红板科技有限公司拟投资不超过9亿元，建设“高阶HDI精密电路板生产线设备升级智能化改造项目”，建设期12个月，主要生产COB直显HDI电路板等产品。项目将在赣州红板现有厂区实施，不新增建设用地，资金来源为子公司自有资金及自筹资金。公司表示，项目建成后将提升高阶HDI制造能力，更好对接新型显示、汽车电子及算力相关应用场景需求。（证券时报）</w:t>
      </w:r>
    </w:p>
    <w:p w14:paraId="2D601828">
      <w:pPr>
        <w:spacing w:line="360" w:lineRule="auto"/>
        <w:ind w:firstLine="56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69DF2115">
      <w:pPr>
        <w:spacing w:line="360" w:lineRule="auto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4E401AB0">
      <w:pPr>
        <w:spacing w:line="360" w:lineRule="auto"/>
        <w:jc w:val="left"/>
        <w:rPr>
          <w:rFonts w:hint="eastAsia" w:ascii="Times New Roman" w:hAnsi="Times New Roman" w:eastAsia="仿宋" w:cs="Times New Roman"/>
          <w:sz w:val="32"/>
          <w:szCs w:val="24"/>
          <w:highlight w:val="none"/>
          <w:lang w:val="en-US" w:eastAsia="zh-CN"/>
        </w:rPr>
      </w:pPr>
    </w:p>
    <w:p w14:paraId="7F6F56B3">
      <w:pPr>
        <w:keepNext w:val="0"/>
        <w:keepLines w:val="0"/>
        <w:widowControl/>
        <w:suppressLineNumbers w:val="0"/>
        <w:spacing w:line="360" w:lineRule="auto"/>
        <w:ind w:firstLine="0" w:firstLineChars="0"/>
        <w:jc w:val="both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0AA2B014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1D2A5CA4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20B8BC84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646FC81E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2B4D5C73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5908F830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</w:p>
    <w:p w14:paraId="34918E87">
      <w:pPr>
        <w:keepNext w:val="0"/>
        <w:keepLines w:val="0"/>
        <w:widowControl/>
        <w:suppressLineNumbers w:val="0"/>
        <w:spacing w:line="360" w:lineRule="auto"/>
        <w:ind w:firstLine="0" w:firstLineChars="0"/>
        <w:jc w:val="both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5004A3C8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更多精彩内容请扫描下方二维码，关注CPCA服务号</w:t>
      </w:r>
    </w:p>
    <w:p w14:paraId="70D08752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撰稿人：张国旗</w:t>
      </w:r>
    </w:p>
    <w:p w14:paraId="2387C8E8">
      <w:pPr>
        <w:keepNext w:val="0"/>
        <w:keepLines w:val="0"/>
        <w:widowControl/>
        <w:suppressLineNumbers w:val="0"/>
        <w:spacing w:line="360" w:lineRule="auto"/>
        <w:ind w:firstLine="0" w:firstLineChars="0"/>
        <w:jc w:val="right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  <w:lang w:val="en-US" w:eastAsia="zh-CN" w:bidi="ar"/>
        </w:rPr>
        <w:t>审核：张运</w:t>
      </w:r>
    </w:p>
    <w:p w14:paraId="044B3D61">
      <w:pPr>
        <w:widowControl w:val="0"/>
        <w:bidi w:val="0"/>
        <w:spacing w:line="240" w:lineRule="auto"/>
        <w:ind w:left="0" w:leftChars="0" w:firstLine="0" w:firstLineChars="0"/>
        <w:jc w:val="right"/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24"/>
        </w:rPr>
        <w:drawing>
          <wp:inline distT="0" distB="0" distL="114300" distR="114300">
            <wp:extent cx="1187450" cy="1168400"/>
            <wp:effectExtent l="0" t="0" r="635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ACD8E"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3675" cy="3503295"/>
            <wp:effectExtent l="0" t="0" r="9525" b="1905"/>
            <wp:docPr id="2" name="图片 2" descr="467b3544aa10c7b69a0d3f65ce8dd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7b3544aa10c7b69a0d3f65ce8dd4d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5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F4FE4">
    <w:pPr>
      <w:pStyle w:val="4"/>
      <w:pBdr>
        <w:bottom w:val="none" w:color="auto" w:sz="0" w:space="0"/>
      </w:pBdr>
      <w:jc w:val="both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69215</wp:posOffset>
          </wp:positionV>
          <wp:extent cx="6782435" cy="513080"/>
          <wp:effectExtent l="0" t="0" r="0" b="1270"/>
          <wp:wrapTight wrapText="bothSides">
            <wp:wrapPolygon>
              <wp:start x="15713" y="0"/>
              <wp:lineTo x="0" y="0"/>
              <wp:lineTo x="0" y="18446"/>
              <wp:lineTo x="5703" y="20851"/>
              <wp:lineTo x="21477" y="20851"/>
              <wp:lineTo x="21477" y="17644"/>
              <wp:lineTo x="20203" y="13634"/>
              <wp:lineTo x="19232" y="12832"/>
              <wp:lineTo x="21355" y="8822"/>
              <wp:lineTo x="21477" y="4812"/>
              <wp:lineTo x="20809" y="0"/>
              <wp:lineTo x="15713" y="0"/>
            </wp:wrapPolygon>
          </wp:wrapTight>
          <wp:docPr id="1" name="图片 1" descr="C:\Users\Administrator\Desktop\未标题-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未标题-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258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DB433"/>
    <w:multiLevelType w:val="singleLevel"/>
    <w:tmpl w:val="B13DB4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87"/>
    <w:rsid w:val="00065C06"/>
    <w:rsid w:val="0035113B"/>
    <w:rsid w:val="003A66A4"/>
    <w:rsid w:val="004F2A87"/>
    <w:rsid w:val="006B3D1E"/>
    <w:rsid w:val="007065AE"/>
    <w:rsid w:val="0073199B"/>
    <w:rsid w:val="007456A0"/>
    <w:rsid w:val="008355BB"/>
    <w:rsid w:val="009014D3"/>
    <w:rsid w:val="00C372FC"/>
    <w:rsid w:val="00D65DCA"/>
    <w:rsid w:val="00E70812"/>
    <w:rsid w:val="00F70C01"/>
    <w:rsid w:val="00FF5190"/>
    <w:rsid w:val="045F663E"/>
    <w:rsid w:val="06B47FC9"/>
    <w:rsid w:val="071C1AB9"/>
    <w:rsid w:val="07221569"/>
    <w:rsid w:val="07DD40F6"/>
    <w:rsid w:val="083B7C49"/>
    <w:rsid w:val="0CB1267E"/>
    <w:rsid w:val="0E0A67C5"/>
    <w:rsid w:val="0E73679E"/>
    <w:rsid w:val="0FA436B7"/>
    <w:rsid w:val="0FAD6545"/>
    <w:rsid w:val="0FC0235B"/>
    <w:rsid w:val="10CF4D8A"/>
    <w:rsid w:val="164B0998"/>
    <w:rsid w:val="16E96798"/>
    <w:rsid w:val="1CDA2E0B"/>
    <w:rsid w:val="21A55BAC"/>
    <w:rsid w:val="21A60DC4"/>
    <w:rsid w:val="225C17EC"/>
    <w:rsid w:val="236405A0"/>
    <w:rsid w:val="25AF1BE4"/>
    <w:rsid w:val="25B55B0A"/>
    <w:rsid w:val="25EE16C9"/>
    <w:rsid w:val="264A2919"/>
    <w:rsid w:val="266175BF"/>
    <w:rsid w:val="27003495"/>
    <w:rsid w:val="28C049EA"/>
    <w:rsid w:val="29163431"/>
    <w:rsid w:val="29EF0897"/>
    <w:rsid w:val="2B767FBE"/>
    <w:rsid w:val="2BF15CE7"/>
    <w:rsid w:val="2D364384"/>
    <w:rsid w:val="2DC669A6"/>
    <w:rsid w:val="2E4775E3"/>
    <w:rsid w:val="2EDE3EE6"/>
    <w:rsid w:val="315179C6"/>
    <w:rsid w:val="33274995"/>
    <w:rsid w:val="33A475BE"/>
    <w:rsid w:val="33C137F8"/>
    <w:rsid w:val="369A381C"/>
    <w:rsid w:val="36ED7D2B"/>
    <w:rsid w:val="37CF5FD6"/>
    <w:rsid w:val="381216B5"/>
    <w:rsid w:val="38AD19AF"/>
    <w:rsid w:val="39431EEE"/>
    <w:rsid w:val="39F27144"/>
    <w:rsid w:val="3A522D3D"/>
    <w:rsid w:val="3A6D2312"/>
    <w:rsid w:val="3B265F2E"/>
    <w:rsid w:val="3B766568"/>
    <w:rsid w:val="3ED15FEF"/>
    <w:rsid w:val="3EDF266A"/>
    <w:rsid w:val="3F233925"/>
    <w:rsid w:val="3FDD3C4F"/>
    <w:rsid w:val="40297E1C"/>
    <w:rsid w:val="44BD69EB"/>
    <w:rsid w:val="456055DE"/>
    <w:rsid w:val="45F31C63"/>
    <w:rsid w:val="45FD6761"/>
    <w:rsid w:val="461343DB"/>
    <w:rsid w:val="4B4134FD"/>
    <w:rsid w:val="4B543446"/>
    <w:rsid w:val="4E4364C2"/>
    <w:rsid w:val="50EA418D"/>
    <w:rsid w:val="510C0237"/>
    <w:rsid w:val="521E7BC5"/>
    <w:rsid w:val="52793D86"/>
    <w:rsid w:val="536C7C6B"/>
    <w:rsid w:val="53A662DF"/>
    <w:rsid w:val="53AD3873"/>
    <w:rsid w:val="53CF538E"/>
    <w:rsid w:val="557B2A48"/>
    <w:rsid w:val="55DB0099"/>
    <w:rsid w:val="57F01B04"/>
    <w:rsid w:val="596C1A28"/>
    <w:rsid w:val="59E7637A"/>
    <w:rsid w:val="59EE1099"/>
    <w:rsid w:val="5CF95551"/>
    <w:rsid w:val="5D9615A2"/>
    <w:rsid w:val="61863437"/>
    <w:rsid w:val="61E21505"/>
    <w:rsid w:val="624D40D3"/>
    <w:rsid w:val="62E354DE"/>
    <w:rsid w:val="632528C9"/>
    <w:rsid w:val="642D34F2"/>
    <w:rsid w:val="64592EAE"/>
    <w:rsid w:val="65326415"/>
    <w:rsid w:val="65605C5F"/>
    <w:rsid w:val="65AE7F5D"/>
    <w:rsid w:val="65FB0E53"/>
    <w:rsid w:val="66452A5A"/>
    <w:rsid w:val="678149E0"/>
    <w:rsid w:val="68BE0B64"/>
    <w:rsid w:val="68D47E6F"/>
    <w:rsid w:val="692244D0"/>
    <w:rsid w:val="6968585F"/>
    <w:rsid w:val="6A19339F"/>
    <w:rsid w:val="6BCE176C"/>
    <w:rsid w:val="6D07449C"/>
    <w:rsid w:val="6D8365BD"/>
    <w:rsid w:val="6E2A4350"/>
    <w:rsid w:val="6E3E1339"/>
    <w:rsid w:val="6EC32276"/>
    <w:rsid w:val="6F0F1346"/>
    <w:rsid w:val="6F57027E"/>
    <w:rsid w:val="6F7810F5"/>
    <w:rsid w:val="71313AC1"/>
    <w:rsid w:val="72DB7A02"/>
    <w:rsid w:val="72DE08AE"/>
    <w:rsid w:val="72EE6ECA"/>
    <w:rsid w:val="73A51C06"/>
    <w:rsid w:val="752B4467"/>
    <w:rsid w:val="772054B7"/>
    <w:rsid w:val="77B64349"/>
    <w:rsid w:val="78404F59"/>
    <w:rsid w:val="78D0113A"/>
    <w:rsid w:val="79120DC0"/>
    <w:rsid w:val="7B086666"/>
    <w:rsid w:val="7B870239"/>
    <w:rsid w:val="7C007CD6"/>
    <w:rsid w:val="7C6C3669"/>
    <w:rsid w:val="7CFB2380"/>
    <w:rsid w:val="7DC1685E"/>
    <w:rsid w:val="7E4839B7"/>
    <w:rsid w:val="7E9D64A0"/>
    <w:rsid w:val="7F726CC2"/>
    <w:rsid w:val="7FC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2796</Words>
  <Characters>3076</Characters>
  <Lines>0</Lines>
  <Paragraphs>0</Paragraphs>
  <TotalTime>24</TotalTime>
  <ScaleCrop>false</ScaleCrop>
  <LinksUpToDate>false</LinksUpToDate>
  <CharactersWithSpaces>3120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2021-09-23T01:41:00Z</dcterms:created>
  <dc:creator>A</dc:creator>
  <cp:keywords>CPCA, PCB, 每周资讯, 第141期</cp:keywords>
  <cp:lastModifiedBy>朕已阅</cp:lastModifiedBy>
  <cp:lastPrinted>2021-09-23T03:57:00Z</cp:lastPrinted>
  <dcterms:modified xsi:type="dcterms:W3CDTF">2026-06-25T03:04:41Z</dcterms:modified>
  <dc:subject>CPCA141期每周资讯热点报告</dc:subject>
  <dc:title>CPCA每周资讯第141期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eyJoZGlkIjoiZWFlNjQ3NDIwZDEwN2RkZjI5ZmVhOGI2NjVlYTBkMTciLCJ1c2VySWQiOiIxMzgyMTM1ODU2In0=</vt:lpwstr>
  </property>
  <property fmtid="{D5CDD505-2E9C-101B-9397-08002B2CF9AE}" pid="3" name="KSOProductBuildVer">
    <vt:lpwstr>2052-12.1.0.26895</vt:lpwstr>
  </property>
  <property fmtid="{D5CDD505-2E9C-101B-9397-08002B2CF9AE}" pid="4" name="ICV">
    <vt:lpwstr>B4BE2F722A1F4F1C995A318B3E12D533_13</vt:lpwstr>
  </property>
</Properties>
</file>