
<file path=[Content_Types].xml><?xml version="1.0" encoding="utf-8"?>
<Types xmlns="http://schemas.openxmlformats.org/package/2006/content-types">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华文楷体" w:hAnsi="华文楷体" w:eastAsia="华文楷体" w:cs="华文楷体"/>
          <w:b/>
          <w:bCs/>
          <w:snapToGrid w:val="0"/>
          <w:color w:val="548235" w:themeColor="accent6" w:themeShade="BF"/>
          <w:kern w:val="0"/>
          <w:sz w:val="28"/>
          <w:szCs w:val="28"/>
          <w:lang w:val="en-US" w:eastAsia="zh-CN" w:bidi="ar"/>
        </w:rPr>
      </w:pPr>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第143期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                                            2026年7月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每周资讯|上半年中国GDP总量同增4.7%；上半年外贸首破25万亿元；集成电路日均产量超15亿块</w:t>
      </w:r>
    </w:p>
    <w:p w14:paraId="03F497D5">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Times New Roman" w:hAnsi="Times New Roman" w:eastAsia="仿宋" w:cs="Times New Roman"/>
          <w:sz w:val="32"/>
          <w:szCs w:val="24"/>
          <w:highlight w:val="none"/>
          <w:lang w:val="en-US" w:eastAsia="zh-CN"/>
        </w:rPr>
      </w:pPr>
      <w:r>
        <w:rPr>
          <w:rFonts w:hint="eastAsia" w:ascii="Arial" w:hAnsi="Arial" w:eastAsia="黑体" w:cs="Times New Roman"/>
          <w:b/>
          <w:kern w:val="2"/>
          <w:sz w:val="32"/>
          <w:szCs w:val="24"/>
          <w:lang w:val="en-US" w:eastAsia="zh-CN" w:bidi="ar-SA"/>
        </w:rPr>
        <w:t>行业</w:t>
      </w:r>
    </w:p>
    <w:p w14:paraId="6B1DB1EC">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今年上半年中国GDP总量达到69.57万亿元，同比增长4.7%</w:t>
      </w:r>
    </w:p>
    <w:p w14:paraId="186E51E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15日，国务院新闻办公室举行新闻发布会，国家统计局发布的数据显示，今年上半年，中国经济顶住压力，有效应对外部冲击挑战，国内生产总值同比增长4.7%，延续了总体平稳、向新向优的发展态势，展现出强大的韧性和活力。经济运行总体平稳，主要指标运行在合理区间。今年上半年，国内生产总值总量达到69.6万亿元，同比增长4.7%，增速符合全年经济增长预期目标。（证券时报）</w:t>
      </w:r>
    </w:p>
    <w:p w14:paraId="11291F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p>
    <w:p w14:paraId="39787E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央行公告将开展1.4万亿元6个月期买断式逆回购，保持流动性合理充裕</w:t>
      </w:r>
    </w:p>
    <w:p w14:paraId="1E95CF83">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7月14日，中国人民银行公告，为保持银行体系流动性充裕，将于7月15日以固定数量、利率招标、多重价位中标方式开展14000亿元买断式逆回购操作，期限为6个月（184天）。同日，央行以固定利率、数量招标方式开展2365亿元7天期逆回购操作，操作利率1.40%，因当日有100亿元逆回购到期，公开市场实现净投放2265亿元。1.4万亿元规模创该工具单次操作新高，对应到期后净投放约5000亿元。（中国人民银行）</w:t>
      </w:r>
    </w:p>
    <w:p w14:paraId="3A30106E">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海关总署：上半年外贸首破25万亿元，算力硬件进出口增长56.6%</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7月14日，国新办举行新闻发布会介绍2026年上半年货物贸易进出口情况。海关总署数据显示，上半年我国货物贸易进出口总值25.47万亿元，同比增长16.9%，历史同期首次突破25万亿元；其中出口14.73万亿元，增长13.4%，进口10.74万亿元，增长22.1%。海关总署副署长王军指出，上半年电子元件、电脑零部件等算力硬件进出口达5.13万亿元，增长56.6%；机电产品出口9.36万亿元，增长20.1%，占出口总值的63.5%。（海关总署）</w:t>
      </w:r>
    </w:p>
    <w:p w14:paraId="699A251B">
      <w:pPr>
        <w:spacing w:line="360" w:lineRule="auto"/>
        <w:ind w:firstLine="640" w:firstLineChars="200"/>
        <w:jc w:val="left"/>
        <w:rPr>
          <w:rFonts w:hint="eastAsia" w:ascii="Times New Roman" w:hAnsi="Times New Roman" w:eastAsia="仿宋" w:cs="Times New Roman"/>
          <w:sz w:val="32"/>
          <w:szCs w:val="24"/>
          <w:lang w:val="en-US" w:eastAsia="zh-CN"/>
        </w:rPr>
      </w:pP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5AC598AC">
      <w:pPr>
        <w:spacing w:line="360" w:lineRule="auto"/>
        <w:ind w:firstLine="640" w:firstLineChars="200"/>
        <w:jc w:val="left"/>
        <w:rPr>
          <w:rFonts w:hint="eastAsia" w:ascii="Times New Roman" w:hAnsi="Times New Roman" w:eastAsia="仿宋" w:cs="Times New Roman"/>
          <w:sz w:val="32"/>
          <w:szCs w:val="24"/>
          <w:lang w:val="en-US" w:eastAsia="zh-CN"/>
        </w:rPr>
      </w:pPr>
    </w:p>
    <w:p w14:paraId="0E88FBD5">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国家统计局：上半年我国规模以上工业企业集成电路产量增长23.1%</w:t>
      </w:r>
    </w:p>
    <w:p w14:paraId="156AD842">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15日，国家统计局国民经济综合统计司负责人王冠华在国新办新闻发布会上介绍，上半年规模以上高技术制造业增加值、数字产品制造业增加值分别增长13.3%和12.3%，比一季度均有所加快。受全球人工智能技术变革带动高端算力芯片和存储芯片需求爆发影响，上半年我国规模以上工业企业集成电路产量增长23.1%，产量规模达到2798亿块，平均每天生产集成电路超过15亿块。新动能以两成多的增加值占比贡献了近五成工业增长，电子信息产业宏观景气度持续抬升。（国家统计局）</w:t>
      </w:r>
    </w:p>
    <w:p w14:paraId="47CA1C8F">
      <w:pPr>
        <w:spacing w:line="240" w:lineRule="auto"/>
        <w:ind w:left="0" w:leftChars="0" w:firstLine="640" w:firstLineChars="200"/>
        <w:jc w:val="left"/>
        <w:rPr>
          <w:rFonts w:hint="default" w:ascii="Times New Roman" w:hAnsi="Times New Roman" w:eastAsia="仿宋" w:cs="Times New Roman"/>
          <w:sz w:val="32"/>
          <w:szCs w:val="24"/>
          <w:highlight w:val="none"/>
          <w:lang w:val="en-US" w:eastAsia="zh-CN"/>
        </w:rPr>
      </w:pPr>
    </w:p>
    <w:p w14:paraId="2644C559">
      <w:pPr>
        <w:spacing w:line="240" w:lineRule="auto"/>
        <w:ind w:left="0" w:leftChars="0" w:firstLine="0" w:firstLineChars="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中汽协：6月新能源汽车产销同比分别增长26%和23.6%</w:t>
      </w:r>
    </w:p>
    <w:p w14:paraId="16D8ABEC">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9日，中国汽车工业协会公布数据显示，6月汽车产销分别完成276万辆和281万辆，环比分别增长5.5%和6.9%，同比分别下降1.2%和3.2%。其中，新能源汽车产销分别完成159.8万辆和164.3万辆，同比分别增长26%和23.6%，新能源汽车新车销量占汽车新车总销量的58.5%。6月新能源汽车出口52.3万辆，同比增长1.6倍；1—6月新能源汽车产销分别完成743.8万辆和744.6万辆，同比分别增长6.7%和7.3%。（中国汽车工业协会）</w:t>
      </w:r>
    </w:p>
    <w:p w14:paraId="4E914E51">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5AD92B3D">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全球智能手机二季度出货量下滑，存储涨价加剧市场分化</w:t>
      </w:r>
    </w:p>
    <w:p w14:paraId="4804EA4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13日，IDC、Counterpoint、Omdia等机构陆续发布初步统计：2026年第二季度全球智能手机出货量延续下滑。IDC数据显示当季出货约2.775亿部，同比下降6.7%，连续第二个季度同比下滑；Counterpoint称同比下滑约11%，创2013年以来第二季度较低水平；Omdia数据显示同比下降约4%。三星、苹果等品牌逆势增长，小米、OPPO、vivo等因入门与中端机型对存储成本更敏感而出现两位数跌幅。（IDC/Counterpoint/Omdia）</w:t>
      </w:r>
    </w:p>
    <w:p w14:paraId="511F491A">
      <w:pPr>
        <w:spacing w:line="240" w:lineRule="auto"/>
        <w:ind w:left="0" w:leftChars="0" w:firstLine="640" w:firstLineChars="200"/>
        <w:jc w:val="left"/>
        <w:rPr>
          <w:rFonts w:hint="eastAsia" w:ascii="Times New Roman" w:hAnsi="Times New Roman" w:eastAsia="仿宋" w:cs="Times New Roman"/>
          <w:sz w:val="32"/>
          <w:szCs w:val="24"/>
          <w:highlight w:val="none"/>
          <w:lang w:val="en-US" w:eastAsia="zh-CN"/>
        </w:rPr>
      </w:pP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5213A509">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贤丰控股拟出资6018万元设立合资公司，布局消费类PCB业务</w:t>
      </w:r>
    </w:p>
    <w:p w14:paraId="2745B72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15日，贤丰控股公告，公司全资子公司贤丰电子科技（东莞）有限公司与广东盈硕电子有限公司签署协议，共同出资设立贤丰盈硕科技有限公司，注册资本1.18亿元。其中，贤丰东莞以货币出资6018万元，持股51%；广东盈硕以货币及实物出资5782万元，持股49%。合资公司主要从事应用于消费领域的PCB研发、生产和销售。本次对外投资标志着公司正式切入印制电路板制造环节，完善电子产业链布局。（贤丰控股公司公告）</w:t>
      </w:r>
    </w:p>
    <w:p w14:paraId="2506E90D">
      <w:pPr>
        <w:keepNext/>
        <w:keepLines/>
        <w:widowControl w:val="0"/>
        <w:numPr>
          <w:ilvl w:val="0"/>
          <w:numId w:val="0"/>
        </w:numPr>
        <w:bidi w:val="0"/>
        <w:spacing w:before="260" w:beforeLines="0" w:beforeAutospacing="0" w:after="260" w:afterLines="0" w:afterAutospacing="0" w:line="413" w:lineRule="auto"/>
        <w:ind w:leftChars="0"/>
        <w:jc w:val="left"/>
        <w:outlineLvl w:val="1"/>
        <w:rPr>
          <w:rFonts w:hint="eastAsia" w:ascii="Arial" w:hAnsi="Arial" w:eastAsia="黑体" w:cs="Times New Roman"/>
          <w:b/>
          <w:kern w:val="2"/>
          <w:sz w:val="32"/>
          <w:szCs w:val="24"/>
          <w:lang w:val="en-US" w:eastAsia="zh-CN" w:bidi="ar-SA"/>
        </w:rPr>
      </w:pP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信维通信拟收购益阳电子科技55%股权，加码高端MLCC布局</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7月14日</w:t>
      </w:r>
      <w:bookmarkStart w:id="0" w:name="_GoBack"/>
      <w:bookmarkEnd w:id="0"/>
      <w:r>
        <w:rPr>
          <w:rFonts w:hint="eastAsia" w:ascii="Times New Roman" w:hAnsi="Times New Roman" w:eastAsia="仿宋" w:cs="Times New Roman"/>
          <w:sz w:val="32"/>
          <w:szCs w:val="24"/>
          <w:highlight w:val="none"/>
          <w:lang w:val="en-US" w:eastAsia="zh-CN"/>
        </w:rPr>
        <w:t>，信维通信公告，全资子公司信维通信（益阳）有限公司拟以现金方式收购信维电子科技（益阳）有限公司55%股权，交易对价不超过11亿元；收购完成后持股比例将提升至70%并取得控制权，各方还约定后续对标的公司增资10亿元。公司表示，此举旨在满足全球客户对高端MLCC产品的快速增长需求，加快在高端被动元件领域的战略布局，服务AI算力、消费电子及新能源汽车等下游应用。（财联社）</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汇成股份关联方拟投不低于75亿元建设HITS先进封装项目</w:t>
      </w:r>
    </w:p>
    <w:p w14:paraId="1961B372">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13日晚间，汇成股份公告，上海郑隆芯创微电子有限公司计划在上海市嘉定区南翔镇投资建设“HITS先进封装研发产业化项目”，投资总额预计不低于75亿元，整体建设工期约42个月。公司拟拓展高速互联先进封装工艺平台，重点关注超窄间距凸块键合、超细线路互连、超大尺寸芯片系统整合封装及高密度再布线层等技术，以满足更高集成度、更高性能封装测试需求，把握AI及高性能计算领域增长机遇。该事项尚需提交股东会审议批准。（科创板日报）</w:t>
      </w:r>
    </w:p>
    <w:p w14:paraId="161761F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01CB4597">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芯联集成12英寸车规级数模混合芯片项目开工，总投资约200亿元</w:t>
      </w:r>
    </w:p>
    <w:p w14:paraId="2CE32163">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14日，芯联集成12英寸车规级数模混合芯片制造项目在杭绍临空示范区绍兴片区开工。该项目为公司四期重点工程，计划总投资约200亿元，新建一条月产能5万片的芯片生产线，核心产品涵盖MCU/DSP、BCD/DrMOS等模拟电路及硅光/激光驱动等芯片，建成达产后预计年产值超55亿元。项目在巩固新能源汽车和工业控制市场基础上，切入AI服务器电源、光互联等新赛道，增强高端模拟及功率芯片制造能力。（中电网）</w:t>
      </w:r>
    </w:p>
    <w:p w14:paraId="1CBF58D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7E5D4754">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沪电股份：公司收购昆山普江仓储设施有限公司100%股权，将厂房用于产能扩建</w:t>
      </w:r>
    </w:p>
    <w:p w14:paraId="5782AC31">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15日，沪电股份在接受调研者提问时表示，在国内兼顾短期效益与长期发展，一方面聚焦高阶PCB的瓶颈及关键制程，实施迭代升级与靶向性产能扩充，持续深挖现有厂区的高附加值产出潜力，另一方面，加快推进高端扩产项目的建设，2026年第一季度公司加速启动了一系列产能扩充计划。公司于2026年6月收购昆山普江仓储设施有限公司100%股权，将普江仓储的厂房用于产能扩建。扩产并非简单的规模复制，而是分阶段达成产能的升级式扩容，旨在提前卡位优质产能，以更好地满足头部客户群体的需求。（新浪财经）</w:t>
      </w:r>
    </w:p>
    <w:p w14:paraId="407368C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5CEBE7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中国巨石：巨石集团拟投资24.05亿元建设年产2.5亿米电子布生产线</w:t>
      </w:r>
    </w:p>
    <w:p w14:paraId="2CFB7503">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7月15日，中国巨石发布公告，公司的全资子公司巨石集团有限公司拟建设年产2.5亿米电子布生产线项目，总投资金额为24.05亿元。项目建设地点位于浙江省桐乡经济开发区，预计建设周期1.5年，全部建成后，预计总投资收益率为13.27%。2026年一季度，中国巨石实现收入52.82亿元，归母净利润12.67亿元。（新浪财经）</w:t>
      </w:r>
    </w:p>
    <w:p w14:paraId="71267A91">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B8817E0">
      <w:pPr>
        <w:spacing w:line="360" w:lineRule="auto"/>
        <w:ind w:firstLine="640" w:firstLineChars="200"/>
        <w:jc w:val="left"/>
        <w:rPr>
          <w:rFonts w:hint="eastAsia" w:ascii="Times New Roman" w:hAnsi="Times New Roman" w:eastAsia="仿宋" w:cs="Times New Roman"/>
          <w:sz w:val="32"/>
          <w:szCs w:val="24"/>
          <w:highlight w:val="none"/>
          <w:lang w:val="en-US" w:eastAsia="zh-CN"/>
        </w:rPr>
      </w:pPr>
    </w:p>
    <w:p w14:paraId="4F961920">
      <w:pPr>
        <w:spacing w:line="360" w:lineRule="auto"/>
        <w:jc w:val="right"/>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更多精彩内容请扫描下方二维码，关注CPCA服务号</w:t>
      </w:r>
    </w:p>
    <w:p w14:paraId="34918E87">
      <w:pPr>
        <w:spacing w:line="360" w:lineRule="auto"/>
        <w:ind w:firstLine="640" w:firstLineChars="200"/>
        <w:jc w:val="right"/>
        <w:rPr>
          <w:rFonts w:hint="eastAsia" w:ascii="华文仿宋" w:hAnsi="华文仿宋" w:eastAsia="华文仿宋" w:cs="华文仿宋"/>
          <w:color w:val="000000"/>
          <w:kern w:val="0"/>
          <w:sz w:val="28"/>
          <w:szCs w:val="28"/>
          <w:lang w:val="en-US" w:eastAsia="zh-CN" w:bidi="ar"/>
        </w:rPr>
      </w:pPr>
      <w:r>
        <w:rPr>
          <w:rFonts w:hint="eastAsia" w:ascii="Times New Roman" w:hAnsi="Times New Roman" w:eastAsia="仿宋" w:cs="Times New Roman"/>
          <w:sz w:val="32"/>
          <w:szCs w:val="24"/>
          <w:highlight w:val="none"/>
          <w:lang w:val="en-US" w:eastAsia="zh-CN"/>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5"/>
                    <a:stretch>
                      <a:fillRect/>
                    </a:stretch>
                  </pic:blipFill>
                  <pic:spPr>
                    <a:xfrm>
                      <a:off x="0" y="0"/>
                      <a:ext cx="1187450" cy="1168400"/>
                    </a:xfrm>
                    <a:prstGeom prst="rect">
                      <a:avLst/>
                    </a:prstGeom>
                    <a:noFill/>
                    <a:ln>
                      <a:noFill/>
                    </a:ln>
                  </pic:spPr>
                </pic:pic>
              </a:graphicData>
            </a:graphic>
          </wp:inline>
        </w:drawing>
      </w:r>
    </w:p>
    <w:p w14:paraId="077ACD8E">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6"/>
                    <a:stretch>
                      <a:fillRect/>
                    </a:stretch>
                  </pic:blipFill>
                  <pic:spPr>
                    <a:xfrm>
                      <a:off x="0" y="0"/>
                      <a:ext cx="5273675" cy="3503295"/>
                    </a:xfrm>
                    <a:prstGeom prst="rect">
                      <a:avLst/>
                    </a:prstGeom>
                  </pic:spPr>
                </pic:pic>
              </a:graphicData>
            </a:graphic>
          </wp:inline>
        </w:drawing>
      </w:r>
    </w:p>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45F663E"/>
    <w:rsid w:val="06B47FC9"/>
    <w:rsid w:val="071C1AB9"/>
    <w:rsid w:val="07221569"/>
    <w:rsid w:val="07DD40F6"/>
    <w:rsid w:val="083B7C49"/>
    <w:rsid w:val="0CB1267E"/>
    <w:rsid w:val="0E0A67C5"/>
    <w:rsid w:val="0E73679E"/>
    <w:rsid w:val="0FA436B7"/>
    <w:rsid w:val="0FAD6545"/>
    <w:rsid w:val="0FC0235B"/>
    <w:rsid w:val="10CF4D8A"/>
    <w:rsid w:val="164B0998"/>
    <w:rsid w:val="16E96798"/>
    <w:rsid w:val="18700773"/>
    <w:rsid w:val="1CDA2E0B"/>
    <w:rsid w:val="21A55BAC"/>
    <w:rsid w:val="21A60DC4"/>
    <w:rsid w:val="225C17EC"/>
    <w:rsid w:val="236405A0"/>
    <w:rsid w:val="25AF1BE4"/>
    <w:rsid w:val="25B55B0A"/>
    <w:rsid w:val="25EE16C9"/>
    <w:rsid w:val="264A2919"/>
    <w:rsid w:val="266175BF"/>
    <w:rsid w:val="27003495"/>
    <w:rsid w:val="28C049EA"/>
    <w:rsid w:val="29163431"/>
    <w:rsid w:val="29EF0897"/>
    <w:rsid w:val="2B767FBE"/>
    <w:rsid w:val="2BF15CE7"/>
    <w:rsid w:val="2D364384"/>
    <w:rsid w:val="2DC669A6"/>
    <w:rsid w:val="2E4775E3"/>
    <w:rsid w:val="2EDE3EE6"/>
    <w:rsid w:val="315179C6"/>
    <w:rsid w:val="33274995"/>
    <w:rsid w:val="33A475BE"/>
    <w:rsid w:val="33C137F8"/>
    <w:rsid w:val="369A381C"/>
    <w:rsid w:val="36ED7D2B"/>
    <w:rsid w:val="37CF5FD6"/>
    <w:rsid w:val="381216B5"/>
    <w:rsid w:val="38AD19AF"/>
    <w:rsid w:val="39431EEE"/>
    <w:rsid w:val="39F27144"/>
    <w:rsid w:val="3A522D3D"/>
    <w:rsid w:val="3A6D2312"/>
    <w:rsid w:val="3B265F2E"/>
    <w:rsid w:val="3B766568"/>
    <w:rsid w:val="3ED15FEF"/>
    <w:rsid w:val="3EDF266A"/>
    <w:rsid w:val="3F233925"/>
    <w:rsid w:val="3FDD3C4F"/>
    <w:rsid w:val="40297E1C"/>
    <w:rsid w:val="44BD69EB"/>
    <w:rsid w:val="456055DE"/>
    <w:rsid w:val="45F31C63"/>
    <w:rsid w:val="45FD6761"/>
    <w:rsid w:val="461343DB"/>
    <w:rsid w:val="4ABF4154"/>
    <w:rsid w:val="4B4134FD"/>
    <w:rsid w:val="4B543446"/>
    <w:rsid w:val="4E4364C2"/>
    <w:rsid w:val="50EA418D"/>
    <w:rsid w:val="510C0237"/>
    <w:rsid w:val="521E7BC5"/>
    <w:rsid w:val="52793D86"/>
    <w:rsid w:val="536C7C6B"/>
    <w:rsid w:val="53A662DF"/>
    <w:rsid w:val="53AD3873"/>
    <w:rsid w:val="53CF538E"/>
    <w:rsid w:val="557B2A48"/>
    <w:rsid w:val="55DB0099"/>
    <w:rsid w:val="57F01B04"/>
    <w:rsid w:val="596C1A28"/>
    <w:rsid w:val="59E7637A"/>
    <w:rsid w:val="59EE1099"/>
    <w:rsid w:val="5CF95551"/>
    <w:rsid w:val="5D9615A2"/>
    <w:rsid w:val="61863437"/>
    <w:rsid w:val="61E21505"/>
    <w:rsid w:val="624D40D3"/>
    <w:rsid w:val="62E354DE"/>
    <w:rsid w:val="632528C9"/>
    <w:rsid w:val="642D34F2"/>
    <w:rsid w:val="64592EAE"/>
    <w:rsid w:val="65326415"/>
    <w:rsid w:val="65605C5F"/>
    <w:rsid w:val="65AE7F5D"/>
    <w:rsid w:val="65FB0E53"/>
    <w:rsid w:val="66452A5A"/>
    <w:rsid w:val="66C33328"/>
    <w:rsid w:val="678149E0"/>
    <w:rsid w:val="68BE0B64"/>
    <w:rsid w:val="68D47E6F"/>
    <w:rsid w:val="692244D0"/>
    <w:rsid w:val="6968585F"/>
    <w:rsid w:val="6A19339F"/>
    <w:rsid w:val="6BCE176C"/>
    <w:rsid w:val="6D07449C"/>
    <w:rsid w:val="6D8365BD"/>
    <w:rsid w:val="6E2A4350"/>
    <w:rsid w:val="6E3E1339"/>
    <w:rsid w:val="6E6D657F"/>
    <w:rsid w:val="6EC32276"/>
    <w:rsid w:val="6F0F1346"/>
    <w:rsid w:val="6F57027E"/>
    <w:rsid w:val="6F7810F5"/>
    <w:rsid w:val="71313AC1"/>
    <w:rsid w:val="72DB7A02"/>
    <w:rsid w:val="72DE08AE"/>
    <w:rsid w:val="72EE6ECA"/>
    <w:rsid w:val="73A51C06"/>
    <w:rsid w:val="752B4467"/>
    <w:rsid w:val="772054B7"/>
    <w:rsid w:val="77B64349"/>
    <w:rsid w:val="78404F59"/>
    <w:rsid w:val="78D0113A"/>
    <w:rsid w:val="79120DC0"/>
    <w:rsid w:val="7B086666"/>
    <w:rsid w:val="7B870239"/>
    <w:rsid w:val="7C007CD6"/>
    <w:rsid w:val="7C6C3669"/>
    <w:rsid w:val="7CFB2380"/>
    <w:rsid w:val="7DC1685E"/>
    <w:rsid w:val="7E4839B7"/>
    <w:rsid w:val="7E9D64A0"/>
    <w:rsid w:val="7F726CC2"/>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2937</Words>
  <Characters>3341</Characters>
  <Lines>0</Lines>
  <Paragraphs>0</Paragraphs>
  <TotalTime>2</TotalTime>
  <ScaleCrop>false</ScaleCrop>
  <LinksUpToDate>false</LinksUpToDate>
  <CharactersWithSpaces>3389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keywords>CPCA, PCB, 每周资讯, 第141期</cp:keywords>
  <cp:lastModifiedBy>朕已阅</cp:lastModifiedBy>
  <cp:lastPrinted>2021-09-23T03:57:00Z</cp:lastPrinted>
  <dcterms:modified xsi:type="dcterms:W3CDTF">2026-07-16T07:06:27Z</dcterms:modified>
  <dc:subject>CPCA141期每周资讯热点报告</dc:subject>
  <dc:title>CPCA每周资讯第141期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2052-12.1.0.26895</vt:lpwstr>
  </property>
  <property fmtid="{D5CDD505-2E9C-101B-9397-08002B2CF9AE}" pid="4" name="ICV">
    <vt:lpwstr>475234387207408695256EAD167E8E62_13</vt:lpwstr>
  </property>
</Properties>
</file>