
<file path=[Content_Types].xml><?xml version="1.0" encoding="utf-8"?>
<Types xmlns="http://schemas.openxmlformats.org/package/2006/content-types">
  <Default Extension="wmf" ContentType="image/x-wmf"/>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8F6A1A">
      <w:pPr>
        <w:spacing w:line="360" w:lineRule="auto"/>
        <w:jc w:val="both"/>
      </w:pPr>
    </w:p>
    <w:p w14:paraId="287E5B2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baseline"/>
        <w:rPr>
          <w:rFonts w:hint="default" w:ascii="Times New Roman" w:hAnsi="Times New Roman" w:eastAsia="仿宋" w:cs="Times New Roman"/>
          <w:color w:val="04AC5C"/>
          <w:sz w:val="32"/>
          <w:szCs w:val="24"/>
          <w:lang w:val="en-US"/>
        </w:rPr>
      </w:pPr>
      <w:r>
        <w:rPr>
          <w:rFonts w:hint="eastAsia" w:ascii="华文楷体" w:hAnsi="华文楷体" w:eastAsia="华文楷体" w:cs="华文楷体"/>
          <w:b/>
          <w:bCs/>
          <w:snapToGrid w:val="0"/>
          <w:color w:val="04AC5C"/>
          <w:kern w:val="0"/>
          <w:sz w:val="28"/>
          <w:szCs w:val="28"/>
          <w:lang w:val="en-US" w:eastAsia="zh-CN" w:bidi="ar"/>
        </w:rPr>
        <w:t>第147期</w:t>
      </w:r>
    </w:p>
    <w:p w14:paraId="62D56D6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both"/>
        <w:textAlignment w:val="baseline"/>
        <w:rPr>
          <w:rFonts w:hint="default" w:ascii="Arial" w:hAnsi="Times New Roman" w:eastAsia="仿宋" w:cs="Times New Roman"/>
          <w:color w:val="04AC5C"/>
          <w:sz w:val="21"/>
          <w:szCs w:val="24"/>
          <w:lang w:val="en-US"/>
        </w:rPr>
      </w:pPr>
      <w:r>
        <w:rPr>
          <w:rFonts w:ascii="华文楷体" w:hAnsi="华文楷体" w:eastAsia="华文楷体" w:cs="华文楷体"/>
          <w:b/>
          <w:bCs/>
          <w:snapToGrid w:val="0"/>
          <w:color w:val="04AC5C"/>
          <w:kern w:val="0"/>
          <w:sz w:val="28"/>
          <w:szCs w:val="28"/>
          <w:u w:val="single" w:color="auto"/>
          <w:lang w:val="en-US" w:eastAsia="zh-CN" w:bidi="ar"/>
        </w:rPr>
        <w:t>信息部                                            2026年8月</w:t>
      </w:r>
    </w:p>
    <w:p w14:paraId="6201E98D">
      <w:pPr>
        <w:spacing w:before="260" w:after="260" w:line="413" w:lineRule="auto"/>
        <w:jc w:val="left"/>
        <w:rPr>
          <w:rFonts w:hint="default" w:eastAsia="黑体"/>
          <w:lang w:val="en-US" w:eastAsia="zh-CN"/>
        </w:rPr>
      </w:pPr>
      <w:r>
        <w:rPr>
          <w:rFonts w:ascii="Arial" w:hAnsi="Arial" w:eastAsia="黑体"/>
          <w:b/>
          <w:sz w:val="32"/>
        </w:rPr>
        <w:t>每周资讯|7月工业生产保持增长；</w:t>
      </w:r>
      <w:r>
        <w:rPr>
          <w:rFonts w:hint="eastAsia" w:ascii="Arial" w:hAnsi="Arial" w:eastAsia="黑体"/>
          <w:b/>
          <w:sz w:val="32"/>
          <w:lang w:val="en-US" w:eastAsia="zh-CN"/>
        </w:rPr>
        <w:t>上半年</w:t>
      </w:r>
      <w:r>
        <w:rPr>
          <w:rFonts w:ascii="Arial" w:hAnsi="Arial" w:eastAsia="黑体"/>
          <w:b/>
          <w:sz w:val="32"/>
        </w:rPr>
        <w:t>中国智能眼镜销量增长85.5%；金禄电子安陆多层板扩能项目投产</w:t>
      </w:r>
    </w:p>
    <w:p w14:paraId="68D49C2D">
      <w:pPr>
        <w:spacing w:before="260" w:after="260" w:line="413" w:lineRule="auto"/>
        <w:ind w:firstLine="0"/>
        <w:jc w:val="left"/>
      </w:pPr>
      <w:r>
        <w:rPr>
          <w:rFonts w:hint="eastAsia" w:ascii="Arial" w:hAnsi="Arial" w:eastAsia="黑体"/>
          <w:b/>
          <w:sz w:val="32"/>
          <w:lang w:val="en-US" w:eastAsia="zh-CN"/>
        </w:rPr>
        <w:t>一、行业</w:t>
      </w:r>
    </w:p>
    <w:p w14:paraId="390C3771">
      <w:pPr>
        <w:spacing w:line="360" w:lineRule="auto"/>
        <w:jc w:val="center"/>
      </w:pPr>
      <w:r>
        <w:rPr>
          <w:rFonts w:ascii="Arial" w:hAnsi="Arial" w:eastAsia="黑体"/>
          <w:b/>
          <w:sz w:val="32"/>
        </w:rPr>
        <w:t>1—7月工业生产保持增长，电子设备制造业增势较快</w:t>
      </w:r>
    </w:p>
    <w:p w14:paraId="45A10AB3">
      <w:pPr>
        <w:spacing w:line="360" w:lineRule="auto"/>
        <w:ind w:firstLine="576"/>
        <w:jc w:val="left"/>
      </w:pPr>
      <w:r>
        <w:rPr>
          <w:rFonts w:ascii="Times New Roman" w:hAnsi="Times New Roman" w:eastAsia="仿宋"/>
          <w:sz w:val="32"/>
        </w:rPr>
        <w:t>8月17日，国家统计局发布1—7月主要经济数据：规模以上工业增加值同比增长5.3%，其中装备制造业和高技术制造业分别增长9.7%和13.8%；7月规模以上工业增加值同比增长4.5%，计算机、通信和其他电子设备制造业增长19.1%。工业生产总体保持增长，新动能继续壮大。（国家统计局）</w:t>
      </w:r>
    </w:p>
    <w:p w14:paraId="3FEA3A32">
      <w:pPr>
        <w:spacing w:line="360" w:lineRule="auto"/>
      </w:pPr>
    </w:p>
    <w:p w14:paraId="0B73890A">
      <w:pPr>
        <w:spacing w:line="360" w:lineRule="auto"/>
        <w:jc w:val="center"/>
      </w:pPr>
      <w:r>
        <w:rPr>
          <w:rFonts w:ascii="Arial" w:hAnsi="Arial" w:eastAsia="黑体"/>
          <w:b/>
          <w:sz w:val="32"/>
        </w:rPr>
        <w:t>央行开展1万亿元买断式逆回购，保持流动性充裕</w:t>
      </w:r>
    </w:p>
    <w:p w14:paraId="5F0E5B6D">
      <w:pPr>
        <w:spacing w:line="360" w:lineRule="auto"/>
        <w:ind w:firstLine="576"/>
        <w:jc w:val="left"/>
      </w:pPr>
      <w:r>
        <w:rPr>
          <w:rFonts w:ascii="Times New Roman" w:hAnsi="Times New Roman" w:eastAsia="仿宋"/>
          <w:sz w:val="32"/>
        </w:rPr>
        <w:t>8月13日，中国人民银行公告，为保持银行体系流动性充裕，将于8月14日开展10000亿元买断式逆回购操作，期限6个月（185天），采用固定数量、利率招标、多重价位中标方式。由于当月同期限到期量为10000亿元，本次操作为等量续做，向市场释放维护中长期流动性稳定的政策信号。（中国人民银行）</w:t>
      </w:r>
    </w:p>
    <w:p w14:paraId="69AD47F4">
      <w:pPr>
        <w:spacing w:line="360" w:lineRule="auto"/>
      </w:pPr>
    </w:p>
    <w:p w14:paraId="6DBA7856">
      <w:pPr>
        <w:spacing w:line="360" w:lineRule="auto"/>
        <w:jc w:val="center"/>
      </w:pPr>
      <w:r>
        <w:rPr>
          <w:rFonts w:hint="eastAsia" w:ascii="Arial" w:hAnsi="Arial" w:eastAsia="黑体"/>
          <w:b/>
          <w:sz w:val="32"/>
        </w:rPr>
        <w:t>美联储会议纪要释放偏鹰信号，通胀不降或需加息</w:t>
      </w:r>
    </w:p>
    <w:p w14:paraId="3CF9EE47">
      <w:pPr>
        <w:spacing w:line="360" w:lineRule="auto"/>
        <w:ind w:firstLine="576"/>
        <w:jc w:val="left"/>
      </w:pPr>
      <w:r>
        <w:rPr>
          <w:rFonts w:ascii="Times New Roman" w:hAnsi="Times New Roman" w:eastAsia="仿宋"/>
          <w:sz w:val="32"/>
        </w:rPr>
        <w:t>8月19日，美联储公布7月28—29日议息会议纪要。委员此前以9票赞成、3票反对决定将联邦基金利率目标区间维持在3.50%—3.75%；纪要显示，多位官员认为若通胀未继续回落，未来数月可能需要加息。美国货币政策仍在通胀风险与就业走弱之间权衡。（美国联邦储备委员会）</w:t>
      </w:r>
    </w:p>
    <w:p w14:paraId="47C0D899">
      <w:pPr>
        <w:spacing w:before="260" w:after="260" w:line="413" w:lineRule="auto"/>
        <w:ind w:firstLine="0"/>
        <w:jc w:val="left"/>
      </w:pPr>
      <w:r>
        <w:rPr>
          <w:rFonts w:hint="eastAsia" w:ascii="Arial" w:hAnsi="Arial" w:eastAsia="黑体"/>
          <w:b/>
          <w:sz w:val="32"/>
          <w:lang w:val="en-US" w:eastAsia="zh-CN"/>
        </w:rPr>
        <w:t>二、市场</w:t>
      </w:r>
    </w:p>
    <w:p w14:paraId="286B1702">
      <w:pPr>
        <w:spacing w:line="360" w:lineRule="auto"/>
        <w:jc w:val="center"/>
      </w:pPr>
      <w:r>
        <w:rPr>
          <w:rFonts w:ascii="Arial" w:hAnsi="Arial" w:eastAsia="黑体"/>
          <w:b/>
          <w:sz w:val="32"/>
        </w:rPr>
        <w:t>中国智能眼镜上半年销量同比增长85.5%</w:t>
      </w:r>
    </w:p>
    <w:p w14:paraId="3EDF042D">
      <w:pPr>
        <w:spacing w:line="360" w:lineRule="auto"/>
        <w:ind w:firstLine="576"/>
        <w:jc w:val="left"/>
      </w:pPr>
      <w:r>
        <w:rPr>
          <w:rFonts w:ascii="Times New Roman" w:hAnsi="Times New Roman" w:eastAsia="仿宋"/>
          <w:sz w:val="32"/>
        </w:rPr>
        <w:t>8月14日，洛图科技发布2026年上半年中国智能眼镜市场数据：全渠道销量90.9万台，同比增长85.5%；销售额18.8亿元，同比增长98.7%。品类表现分化，AR眼镜和拍摄眼镜销量占比分别升至44.9%和34.4%，AI音频眼镜份额降至20.7%，市场由单一音频功能加快向显示与影像交互升级。（洛图科技）</w:t>
      </w:r>
    </w:p>
    <w:p w14:paraId="4A30D542">
      <w:pPr>
        <w:spacing w:line="360" w:lineRule="auto"/>
      </w:pPr>
    </w:p>
    <w:p w14:paraId="0CB0C87A">
      <w:pPr>
        <w:spacing w:line="360" w:lineRule="auto"/>
        <w:jc w:val="center"/>
      </w:pPr>
      <w:r>
        <w:rPr>
          <w:rFonts w:ascii="Arial" w:hAnsi="Arial" w:eastAsia="黑体"/>
          <w:b/>
          <w:sz w:val="32"/>
        </w:rPr>
        <w:t>8月上旬新能源乘用车零售同比下降17%</w:t>
      </w:r>
    </w:p>
    <w:p w14:paraId="5B7810C3">
      <w:pPr>
        <w:spacing w:line="360" w:lineRule="auto"/>
        <w:ind w:firstLine="576"/>
        <w:jc w:val="left"/>
      </w:pPr>
      <w:r>
        <w:rPr>
          <w:rFonts w:ascii="Times New Roman" w:hAnsi="Times New Roman" w:eastAsia="仿宋"/>
          <w:sz w:val="32"/>
        </w:rPr>
        <w:t>8月13日，乘联分会发布数据，8月1—9日全国新能源乘用车市场零售19.5万辆，同比下降17%、较上月同期下降4%；今年以来累计零售586.4万辆，同比下降13%。同期厂商新能源批发19.5万辆，同比下降5%、较上月同期增长5%，累计批发844.3万辆，同比增长7%，零售与批发表现继续分化。（乘联分会）</w:t>
      </w:r>
    </w:p>
    <w:p w14:paraId="19AE7C5F">
      <w:pPr>
        <w:spacing w:line="360" w:lineRule="auto"/>
      </w:pPr>
    </w:p>
    <w:p w14:paraId="66596D5C">
      <w:pPr>
        <w:spacing w:line="360" w:lineRule="auto"/>
      </w:pPr>
    </w:p>
    <w:p w14:paraId="01982EF3">
      <w:pPr>
        <w:spacing w:line="360" w:lineRule="auto"/>
        <w:jc w:val="center"/>
      </w:pPr>
      <w:r>
        <w:rPr>
          <w:rFonts w:hint="eastAsia" w:ascii="Arial" w:hAnsi="Arial" w:eastAsia="黑体"/>
          <w:b/>
          <w:sz w:val="32"/>
        </w:rPr>
        <w:t>2026世界机器人大会开幕，参展企业同比增长36%</w:t>
      </w:r>
    </w:p>
    <w:p w14:paraId="03F5C087">
      <w:pPr>
        <w:spacing w:line="360" w:lineRule="auto"/>
        <w:ind w:firstLine="576"/>
        <w:jc w:val="left"/>
        <w:rPr>
          <w:rFonts w:hint="eastAsia" w:eastAsia="仿宋"/>
          <w:lang w:eastAsia="zh-CN"/>
        </w:rPr>
      </w:pPr>
      <w:r>
        <w:rPr>
          <w:rFonts w:hint="eastAsia" w:ascii="Times New Roman" w:hAnsi="Times New Roman" w:eastAsia="仿宋"/>
          <w:sz w:val="32"/>
          <w:lang w:val="en-US" w:eastAsia="zh-CN"/>
        </w:rPr>
        <w:t>8月19日，2026世界机器人大会在北京亦庄开幕。本届博览会汇聚300余家企业，较上届增长36%；展品超过2000件，增长27%，首发新品150余件，增长21%，同期活动60余场。大会首次设置机器人消费街，集中展示工业、人形、服务和特种机器人等产品，行业焦点进一步由技术展示转向规模化应用和供需对接。（世界机器人大会）</w:t>
      </w:r>
    </w:p>
    <w:p w14:paraId="1F5AEA0F">
      <w:pPr>
        <w:spacing w:line="360" w:lineRule="auto"/>
      </w:pPr>
    </w:p>
    <w:p w14:paraId="2BD96FC9">
      <w:pPr>
        <w:spacing w:before="260" w:after="260" w:line="413" w:lineRule="auto"/>
        <w:ind w:firstLine="0"/>
        <w:jc w:val="left"/>
      </w:pPr>
      <w:r>
        <w:rPr>
          <w:rFonts w:hint="eastAsia" w:ascii="Arial" w:hAnsi="Arial" w:eastAsia="黑体"/>
          <w:b/>
          <w:sz w:val="32"/>
          <w:lang w:val="en-US" w:eastAsia="zh-CN"/>
        </w:rPr>
        <w:t>三、企业</w:t>
      </w:r>
    </w:p>
    <w:p w14:paraId="4848F763">
      <w:pPr>
        <w:spacing w:line="360" w:lineRule="auto"/>
        <w:jc w:val="center"/>
      </w:pPr>
      <w:r>
        <w:rPr>
          <w:rFonts w:ascii="Arial" w:hAnsi="Arial" w:eastAsia="黑体"/>
          <w:b/>
          <w:sz w:val="32"/>
        </w:rPr>
        <w:t>金禄电子安陆多层板扩能项目建成投产</w:t>
      </w:r>
    </w:p>
    <w:p w14:paraId="0A82C8E6">
      <w:pPr>
        <w:spacing w:line="360" w:lineRule="auto"/>
        <w:ind w:firstLine="576"/>
        <w:jc w:val="left"/>
      </w:pPr>
      <w:r>
        <w:rPr>
          <w:rFonts w:ascii="Times New Roman" w:hAnsi="Times New Roman" w:eastAsia="仿宋"/>
          <w:sz w:val="32"/>
        </w:rPr>
        <w:t>8月14日，金禄电子在半年报中披露，湖北安陆生产基地多层板扩能项目已建成投产，新增多层板产能2.5万平方米/月；清远PCB扩建项目首条适配AI和算力产品的产线预计三季度建成投产。上半年三大基地整体产能利用率约89%，二季度接近100%。（金禄电子公告）</w:t>
      </w:r>
    </w:p>
    <w:p w14:paraId="222F14EC">
      <w:pPr>
        <w:spacing w:line="360" w:lineRule="auto"/>
      </w:pPr>
    </w:p>
    <w:p w14:paraId="54DBED58">
      <w:pPr>
        <w:spacing w:line="360" w:lineRule="auto"/>
        <w:jc w:val="center"/>
      </w:pPr>
      <w:r>
        <w:rPr>
          <w:rFonts w:ascii="Arial" w:hAnsi="Arial" w:eastAsia="黑体"/>
          <w:b/>
          <w:sz w:val="32"/>
        </w:rPr>
        <w:t>宏和科技终止四川苍溪电子布扩产项目</w:t>
      </w:r>
    </w:p>
    <w:p w14:paraId="3F5DB8FF">
      <w:pPr>
        <w:spacing w:line="360" w:lineRule="auto"/>
        <w:ind w:firstLine="576"/>
        <w:jc w:val="left"/>
      </w:pPr>
      <w:r>
        <w:rPr>
          <w:rFonts w:ascii="Times New Roman" w:hAnsi="Times New Roman" w:eastAsia="仿宋"/>
          <w:sz w:val="32"/>
        </w:rPr>
        <w:t>8月13日，宏和科技公告终止四川苍溪年产7200万米高性能电子级玻璃纤维布项目，并退回约48.46亩工业用地，原计划总投资约6亿元。公司表示，此举基于战略布局、产业配套、协同效应和综合成本等因素；土地出让价款收回有助于改善现金流，不会对经营构成重大不利影响。（宏和科技公告）</w:t>
      </w:r>
    </w:p>
    <w:p w14:paraId="5506A226">
      <w:pPr>
        <w:spacing w:line="360" w:lineRule="auto"/>
      </w:pPr>
    </w:p>
    <w:p w14:paraId="7A35894A">
      <w:pPr>
        <w:spacing w:line="360" w:lineRule="auto"/>
        <w:jc w:val="center"/>
      </w:pPr>
      <w:r>
        <w:rPr>
          <w:rFonts w:ascii="Arial" w:hAnsi="Arial" w:eastAsia="黑体"/>
          <w:b/>
          <w:sz w:val="32"/>
        </w:rPr>
        <w:t>生益科技江西二期覆铜板项目全面投产</w:t>
      </w:r>
    </w:p>
    <w:p w14:paraId="3EEFF594">
      <w:pPr>
        <w:spacing w:line="360" w:lineRule="auto"/>
        <w:ind w:firstLine="576"/>
        <w:jc w:val="left"/>
      </w:pPr>
      <w:r>
        <w:rPr>
          <w:rFonts w:ascii="Times New Roman" w:hAnsi="Times New Roman" w:eastAsia="仿宋"/>
          <w:sz w:val="32"/>
        </w:rPr>
        <w:t>8月14日，生益科技披露半年报，江西生益二期项目自2025年6月起分批投产，于2026年上半年全部投产，新增年产1800万平方米覆铜板和3400万米商品粘结片产能；泰国覆铜板及粘结片生产基地计划下半年试产。公司继续推进高端覆铜板产能全球化布局。（生益科技公告）</w:t>
      </w:r>
    </w:p>
    <w:p w14:paraId="13A1F078">
      <w:pPr>
        <w:spacing w:line="360" w:lineRule="auto"/>
      </w:pPr>
    </w:p>
    <w:p w14:paraId="30D26102">
      <w:pPr>
        <w:spacing w:line="360" w:lineRule="auto"/>
        <w:jc w:val="center"/>
      </w:pPr>
      <w:r>
        <w:rPr>
          <w:rFonts w:ascii="Arial" w:hAnsi="Arial" w:eastAsia="黑体"/>
          <w:b/>
          <w:sz w:val="32"/>
        </w:rPr>
        <w:t>生益电子三地高多层算力板项目加快释放产能</w:t>
      </w:r>
    </w:p>
    <w:p w14:paraId="23003CC9">
      <w:pPr>
        <w:spacing w:line="360" w:lineRule="auto"/>
        <w:ind w:firstLine="576"/>
        <w:jc w:val="left"/>
      </w:pPr>
      <w:r>
        <w:rPr>
          <w:rFonts w:ascii="Times New Roman" w:hAnsi="Times New Roman" w:eastAsia="仿宋"/>
          <w:sz w:val="32"/>
        </w:rPr>
        <w:t>8月15日，生益电子披露半年报，东莞智能算力中心高多层高密互连电路板项目一期正式投产并持续爬坡，二期逐步投入使用；吉安智能制造高多层算力电路板项目第一阶段于报告期末启动投产；泰国基地一期进入设备安装调试和试生产筹备阶段。（生益电子公告）</w:t>
      </w:r>
    </w:p>
    <w:p w14:paraId="7CCE28BB">
      <w:pPr>
        <w:spacing w:line="360" w:lineRule="auto"/>
      </w:pPr>
    </w:p>
    <w:p w14:paraId="7AD78662">
      <w:pPr>
        <w:spacing w:line="360" w:lineRule="auto"/>
        <w:ind w:firstLine="576"/>
        <w:jc w:val="left"/>
        <w:rPr>
          <w:rFonts w:hint="eastAsia" w:ascii="Arial" w:hAnsi="Arial" w:eastAsia="黑体"/>
          <w:b/>
          <w:sz w:val="32"/>
        </w:rPr>
      </w:pPr>
      <w:r>
        <w:rPr>
          <w:rFonts w:hint="eastAsia" w:ascii="Arial" w:hAnsi="Arial" w:eastAsia="黑体"/>
          <w:b/>
          <w:sz w:val="32"/>
        </w:rPr>
        <w:t>中富电路泰国工厂批量生产，AI电源订单加快导入</w:t>
      </w:r>
    </w:p>
    <w:p w14:paraId="554F2EE1">
      <w:pPr>
        <w:spacing w:line="360" w:lineRule="auto"/>
        <w:ind w:firstLine="576"/>
        <w:jc w:val="left"/>
        <w:rPr>
          <w:rFonts w:hint="default" w:ascii="Times New Roman" w:hAnsi="Times New Roman" w:eastAsia="仿宋"/>
          <w:sz w:val="32"/>
          <w:lang w:val="en-US" w:eastAsia="zh-CN"/>
        </w:rPr>
      </w:pPr>
      <w:r>
        <w:rPr>
          <w:rFonts w:hint="eastAsia" w:ascii="Times New Roman" w:hAnsi="Times New Roman" w:eastAsia="仿宋"/>
          <w:sz w:val="32"/>
        </w:rPr>
        <w:t>8月14日，中富电路半年报显示，泰国工厂已进入批量生产阶段并通过多家海外客户审核，受益于AI一次、二次电源订单导入，在手订单增长较快；上半年通信及数据中心业务收入增长约65%。公司年产100万平方米印制线路板项目累计投入约4.07亿元，继续完善境内外产能协同。（中富电路公告）</w:t>
      </w:r>
    </w:p>
    <w:p w14:paraId="21927C11">
      <w:pPr>
        <w:spacing w:line="360" w:lineRule="auto"/>
        <w:jc w:val="left"/>
        <w:rPr>
          <w:rFonts w:hint="eastAsia" w:ascii="Times New Roman" w:hAnsi="Times New Roman" w:eastAsia="仿宋"/>
          <w:sz w:val="32"/>
        </w:rPr>
      </w:pPr>
    </w:p>
    <w:p w14:paraId="2BD43F3A">
      <w:pPr>
        <w:spacing w:line="360" w:lineRule="auto"/>
        <w:jc w:val="center"/>
        <w:rPr>
          <w:rFonts w:hint="eastAsia"/>
        </w:rPr>
      </w:pPr>
      <w:r>
        <w:rPr>
          <w:rFonts w:hint="eastAsia" w:ascii="Arial" w:hAnsi="Arial" w:eastAsia="黑体"/>
          <w:b/>
          <w:sz w:val="32"/>
        </w:rPr>
        <w:t>鹏鼎控股加快AI服务器与高速光模块PCB布局</w:t>
      </w:r>
    </w:p>
    <w:p w14:paraId="76DA8B00">
      <w:pPr>
        <w:spacing w:line="360" w:lineRule="auto"/>
        <w:ind w:firstLine="576"/>
        <w:jc w:val="left"/>
        <w:rPr>
          <w:rFonts w:hint="eastAsia" w:ascii="Times New Roman" w:hAnsi="Times New Roman" w:eastAsia="仿宋"/>
          <w:sz w:val="32"/>
        </w:rPr>
      </w:pPr>
      <w:r>
        <w:rPr>
          <w:rFonts w:hint="eastAsia" w:ascii="Times New Roman" w:hAnsi="Times New Roman" w:eastAsia="仿宋"/>
          <w:sz w:val="32"/>
        </w:rPr>
        <w:t>8月13日，鹏鼎控股投资者关系活动记录表显示，上半年汽车及服务器用板收入22.67亿元，同比增长181.58%，其中AI服务器PCB收入近10亿元、高速光模块PCB收入超6亿元。公司上半年资本开支64亿元，淮安、深圳第三园区及泰国园区按计划推进，在建产能预计自2027年起陆续投产。（鹏鼎控股公告）</w:t>
      </w:r>
    </w:p>
    <w:p w14:paraId="0FF45672">
      <w:pPr>
        <w:spacing w:line="360" w:lineRule="auto"/>
        <w:jc w:val="left"/>
        <w:rPr>
          <w:rFonts w:hint="eastAsia" w:ascii="Times New Roman" w:hAnsi="Times New Roman" w:eastAsia="仿宋"/>
          <w:sz w:val="32"/>
        </w:rPr>
      </w:pPr>
    </w:p>
    <w:p w14:paraId="542FB143">
      <w:pPr>
        <w:spacing w:line="360" w:lineRule="auto"/>
        <w:jc w:val="center"/>
        <w:rPr>
          <w:rFonts w:hint="eastAsia"/>
        </w:rPr>
      </w:pPr>
      <w:r>
        <w:rPr>
          <w:rFonts w:hint="eastAsia" w:ascii="Arial" w:hAnsi="Arial" w:eastAsia="黑体"/>
          <w:b/>
          <w:sz w:val="32"/>
        </w:rPr>
        <w:t>东威科技获1.63亿元订单</w:t>
      </w:r>
      <w:r>
        <w:rPr>
          <w:rFonts w:hint="eastAsia" w:ascii="Arial" w:hAnsi="Arial" w:eastAsia="黑体"/>
          <w:b/>
          <w:sz w:val="32"/>
          <w:lang w:eastAsia="zh-CN"/>
        </w:rPr>
        <w:t>，</w:t>
      </w:r>
      <w:r>
        <w:rPr>
          <w:rFonts w:hint="eastAsia" w:ascii="Arial" w:hAnsi="Arial" w:eastAsia="黑体"/>
          <w:b/>
          <w:sz w:val="32"/>
        </w:rPr>
        <w:t>预增2027年业绩</w:t>
      </w:r>
    </w:p>
    <w:p w14:paraId="144A402C">
      <w:pPr>
        <w:spacing w:line="360" w:lineRule="auto"/>
        <w:ind w:firstLine="576"/>
        <w:jc w:val="left"/>
        <w:rPr>
          <w:rFonts w:hint="default" w:ascii="Times New Roman" w:hAnsi="Times New Roman" w:eastAsia="仿宋"/>
          <w:sz w:val="32"/>
          <w:lang w:val="en-US" w:eastAsia="zh-CN"/>
        </w:rPr>
      </w:pPr>
      <w:r>
        <w:rPr>
          <w:rFonts w:hint="eastAsia" w:ascii="Times New Roman" w:hAnsi="Times New Roman" w:eastAsia="仿宋"/>
          <w:sz w:val="32"/>
        </w:rPr>
        <w:t>8月18日，东威科技</w:t>
      </w:r>
      <w:bookmarkStart w:id="0" w:name="_GoBack"/>
      <w:bookmarkEnd w:id="0"/>
      <w:r>
        <w:rPr>
          <w:rFonts w:hint="eastAsia" w:ascii="Times New Roman" w:hAnsi="Times New Roman" w:eastAsia="仿宋"/>
          <w:sz w:val="32"/>
        </w:rPr>
        <w:t>发布公告，公司签订了一份销售合同，合同金额为1.63亿元（含税）。合同标的为垂直连续镀铜线（脉冲、直流）及其配套软件，合同生效需经双方法人或授权代表签字并加盖公章</w:t>
      </w:r>
      <w:r>
        <w:rPr>
          <w:rFonts w:hint="eastAsia" w:ascii="Times New Roman" w:hAnsi="Times New Roman" w:eastAsia="仿宋"/>
          <w:sz w:val="32"/>
          <w:lang w:eastAsia="zh-CN"/>
        </w:rPr>
        <w:t>。</w:t>
      </w:r>
      <w:r>
        <w:rPr>
          <w:rFonts w:hint="eastAsia" w:ascii="Times New Roman" w:hAnsi="Times New Roman" w:eastAsia="仿宋"/>
          <w:sz w:val="32"/>
        </w:rPr>
        <w:t>预计该合同将对公司2027年的经营业绩产生积极影响，实际影响可能因市场环境变化、生产能力限制、技术更新等因素而有所差异。（</w:t>
      </w:r>
      <w:r>
        <w:rPr>
          <w:rFonts w:hint="eastAsia" w:ascii="Times New Roman" w:hAnsi="Times New Roman" w:eastAsia="仿宋"/>
          <w:sz w:val="32"/>
          <w:lang w:val="en-US" w:eastAsia="zh-CN"/>
        </w:rPr>
        <w:t>财联社</w:t>
      </w:r>
      <w:r>
        <w:rPr>
          <w:rFonts w:hint="eastAsia" w:ascii="Times New Roman" w:hAnsi="Times New Roman" w:eastAsia="仿宋"/>
          <w:sz w:val="32"/>
        </w:rPr>
        <w:t>）</w:t>
      </w:r>
    </w:p>
    <w:p w14:paraId="509F01DF">
      <w:pPr>
        <w:spacing w:line="360" w:lineRule="auto"/>
        <w:ind w:firstLine="576"/>
        <w:jc w:val="left"/>
        <w:rPr>
          <w:rFonts w:hint="default" w:ascii="Times New Roman" w:hAnsi="Times New Roman" w:eastAsia="仿宋"/>
          <w:sz w:val="32"/>
          <w:lang w:val="en-US" w:eastAsia="zh-CN"/>
        </w:rPr>
      </w:pPr>
    </w:p>
    <w:p w14:paraId="46DBC002">
      <w:pPr>
        <w:spacing w:line="360" w:lineRule="auto"/>
        <w:jc w:val="left"/>
        <w:rPr>
          <w:rFonts w:hint="eastAsia" w:ascii="Times New Roman" w:hAnsi="Times New Roman" w:eastAsia="仿宋"/>
          <w:sz w:val="32"/>
        </w:rPr>
      </w:pPr>
    </w:p>
    <w:p w14:paraId="5BFEFDA5">
      <w:pPr>
        <w:spacing w:line="360" w:lineRule="auto"/>
        <w:jc w:val="right"/>
      </w:pPr>
      <w:r>
        <w:rPr>
          <w:rFonts w:ascii="Arial" w:hAnsi="Arial" w:eastAsia="黑体"/>
          <w:b/>
          <w:sz w:val="32"/>
        </w:rPr>
        <w:t>更多精彩内容请扫描下方二维码，关注CPCA服务号</w:t>
      </w:r>
    </w:p>
    <w:p w14:paraId="6A4A3C9A">
      <w:pPr>
        <w:spacing w:line="360" w:lineRule="auto"/>
        <w:jc w:val="right"/>
      </w:pPr>
      <w:r>
        <w:rPr>
          <w:rFonts w:ascii="Times New Roman" w:hAnsi="Times New Roman" w:eastAsia="仿宋"/>
          <w:sz w:val="32"/>
        </w:rPr>
        <w:t>撰稿人：张国旗</w:t>
      </w:r>
    </w:p>
    <w:p w14:paraId="5B639555">
      <w:pPr>
        <w:spacing w:line="360" w:lineRule="auto"/>
        <w:jc w:val="right"/>
      </w:pPr>
      <w:r>
        <w:rPr>
          <w:rFonts w:ascii="华文仿宋" w:hAnsi="华文仿宋" w:eastAsia="华文仿宋"/>
          <w:sz w:val="28"/>
        </w:rPr>
        <w:t>审核：张运</w:t>
      </w:r>
    </w:p>
    <w:p w14:paraId="044B3D61">
      <w:pPr>
        <w:widowControl w:val="0"/>
        <w:bidi w:val="0"/>
        <w:spacing w:line="240" w:lineRule="auto"/>
        <w:ind w:left="0" w:leftChars="0" w:firstLine="0" w:firstLineChars="0"/>
        <w:jc w:val="right"/>
        <w:rPr>
          <w:rFonts w:hint="default" w:ascii="Times New Roman" w:hAnsi="Times New Roman" w:eastAsia="仿宋" w:cs="Times New Roman"/>
          <w:sz w:val="32"/>
          <w:szCs w:val="24"/>
          <w:lang w:val="en-US" w:eastAsia="zh-CN"/>
        </w:rPr>
      </w:pPr>
      <w:r>
        <w:rPr>
          <w:rFonts w:ascii="Times New Roman" w:hAnsi="Times New Roman" w:eastAsia="仿宋" w:cs="Times New Roman"/>
          <w:sz w:val="32"/>
          <w:szCs w:val="24"/>
        </w:rPr>
        <w:drawing>
          <wp:inline distT="0" distB="0" distL="114300" distR="114300">
            <wp:extent cx="1187450" cy="1168400"/>
            <wp:effectExtent l="0" t="0" r="6350" b="0"/>
            <wp:docPr id="3" name="图片 10" descr="Image: 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 descr="Image: image2.png"/>
                    <pic:cNvPicPr>
                      <a:picLocks noChangeAspect="1"/>
                    </pic:cNvPicPr>
                  </pic:nvPicPr>
                  <pic:blipFill>
                    <a:blip r:embed="rId5"/>
                    <a:stretch>
                      <a:fillRect/>
                    </a:stretch>
                  </pic:blipFill>
                  <pic:spPr>
                    <a:xfrm>
                      <a:off x="0" y="0"/>
                      <a:ext cx="1187450" cy="1168400"/>
                    </a:xfrm>
                    <a:prstGeom prst="rect">
                      <a:avLst/>
                    </a:prstGeom>
                    <a:noFill/>
                    <a:ln>
                      <a:noFill/>
                    </a:ln>
                  </pic:spPr>
                </pic:pic>
              </a:graphicData>
            </a:graphic>
          </wp:inline>
        </w:drawing>
      </w:r>
    </w:p>
    <w:p w14:paraId="077ACD8E">
      <w:r>
        <w:rPr>
          <w:rFonts w:hint="default" w:ascii="Times New Roman" w:hAnsi="Times New Roman" w:eastAsia="仿宋" w:cs="Times New Roman"/>
          <w:kern w:val="0"/>
          <w:sz w:val="24"/>
          <w:szCs w:val="24"/>
          <w:lang w:val="en-US" w:eastAsia="zh-CN" w:bidi="ar"/>
        </w:rPr>
        <w:drawing>
          <wp:inline distT="0" distB="0" distL="114300" distR="114300">
            <wp:extent cx="5273675" cy="3503295"/>
            <wp:effectExtent l="0" t="0" r="9525" b="1905"/>
            <wp:docPr id="2" name="图片 2" descr="467b3544aa10c7b69a0d3f65ce8dd4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67b3544aa10c7b69a0d3f65ce8dd4d2"/>
                    <pic:cNvPicPr>
                      <a:picLocks noChangeAspect="1"/>
                    </pic:cNvPicPr>
                  </pic:nvPicPr>
                  <pic:blipFill>
                    <a:blip r:embed="rId6"/>
                    <a:stretch>
                      <a:fillRect/>
                    </a:stretch>
                  </pic:blipFill>
                  <pic:spPr>
                    <a:xfrm>
                      <a:off x="0" y="0"/>
                      <a:ext cx="5273675" cy="3503295"/>
                    </a:xfrm>
                    <a:prstGeom prst="rect">
                      <a:avLst/>
                    </a:prstGeom>
                  </pic:spPr>
                </pic:pic>
              </a:graphicData>
            </a:graphic>
          </wp:inline>
        </w:drawing>
      </w:r>
    </w:p>
    <w:sectPr>
      <w:headerReference r:id="rId3" w:type="default"/>
      <w:pgSz w:w="11906" w:h="16838"/>
      <w:pgMar w:top="156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F4FE4">
    <w:pPr>
      <w:pStyle w:val="4"/>
      <w:pBdr>
        <w:bottom w:val="none" w:color="auto" w:sz="0" w:space="0"/>
      </w:pBdr>
      <w:jc w:val="both"/>
    </w:pPr>
    <w:r>
      <w:drawing>
        <wp:anchor distT="0" distB="0" distL="114300" distR="114300" simplePos="0" relativeHeight="251659264" behindDoc="1" locked="0" layoutInCell="1" allowOverlap="1">
          <wp:simplePos x="0" y="0"/>
          <wp:positionH relativeFrom="margin">
            <wp:align>center</wp:align>
          </wp:positionH>
          <wp:positionV relativeFrom="paragraph">
            <wp:posOffset>69215</wp:posOffset>
          </wp:positionV>
          <wp:extent cx="6782435" cy="513080"/>
          <wp:effectExtent l="0" t="0" r="0" b="1270"/>
          <wp:wrapTight wrapText="bothSides">
            <wp:wrapPolygon>
              <wp:start x="15713" y="0"/>
              <wp:lineTo x="0" y="0"/>
              <wp:lineTo x="0" y="18446"/>
              <wp:lineTo x="5703" y="20851"/>
              <wp:lineTo x="21477" y="20851"/>
              <wp:lineTo x="21477" y="17644"/>
              <wp:lineTo x="20203" y="13634"/>
              <wp:lineTo x="19232" y="12832"/>
              <wp:lineTo x="21355" y="8822"/>
              <wp:lineTo x="21477" y="4812"/>
              <wp:lineTo x="20809" y="0"/>
              <wp:lineTo x="15713" y="0"/>
            </wp:wrapPolygon>
          </wp:wrapTight>
          <wp:docPr id="1" name="图片 1" descr="C:\Users\Administrator\Desktop\未标题-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未标题-1.wm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6782585" cy="51308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A87"/>
    <w:rsid w:val="00065C06"/>
    <w:rsid w:val="0035113B"/>
    <w:rsid w:val="003A66A4"/>
    <w:rsid w:val="004F2A87"/>
    <w:rsid w:val="006B3D1E"/>
    <w:rsid w:val="007065AE"/>
    <w:rsid w:val="0073199B"/>
    <w:rsid w:val="007456A0"/>
    <w:rsid w:val="008355BB"/>
    <w:rsid w:val="009014D3"/>
    <w:rsid w:val="00C372FC"/>
    <w:rsid w:val="00D65DCA"/>
    <w:rsid w:val="00E70812"/>
    <w:rsid w:val="00F70C01"/>
    <w:rsid w:val="00FF5190"/>
    <w:rsid w:val="045F663E"/>
    <w:rsid w:val="06B47FC9"/>
    <w:rsid w:val="071C1AB9"/>
    <w:rsid w:val="07221569"/>
    <w:rsid w:val="07DD40F6"/>
    <w:rsid w:val="083B7C49"/>
    <w:rsid w:val="0CB1267E"/>
    <w:rsid w:val="0E0A67C5"/>
    <w:rsid w:val="0E220FBD"/>
    <w:rsid w:val="0E73679E"/>
    <w:rsid w:val="0FA436B7"/>
    <w:rsid w:val="0FAD6545"/>
    <w:rsid w:val="0FC0235B"/>
    <w:rsid w:val="0FCC54B4"/>
    <w:rsid w:val="10CF4D8A"/>
    <w:rsid w:val="13A55F62"/>
    <w:rsid w:val="164B0998"/>
    <w:rsid w:val="16E96798"/>
    <w:rsid w:val="18700773"/>
    <w:rsid w:val="1CDA2E0B"/>
    <w:rsid w:val="21A55BAC"/>
    <w:rsid w:val="21A60DC4"/>
    <w:rsid w:val="225C17EC"/>
    <w:rsid w:val="236405A0"/>
    <w:rsid w:val="25AF1BE4"/>
    <w:rsid w:val="25B55B0A"/>
    <w:rsid w:val="25EE16C9"/>
    <w:rsid w:val="264A2919"/>
    <w:rsid w:val="266175BF"/>
    <w:rsid w:val="27003495"/>
    <w:rsid w:val="28C049EA"/>
    <w:rsid w:val="29163431"/>
    <w:rsid w:val="29EF0897"/>
    <w:rsid w:val="2B767FBE"/>
    <w:rsid w:val="2BF15CE7"/>
    <w:rsid w:val="2D364384"/>
    <w:rsid w:val="2DC669A6"/>
    <w:rsid w:val="2E4775E3"/>
    <w:rsid w:val="2EDE3EE6"/>
    <w:rsid w:val="315179C6"/>
    <w:rsid w:val="33274995"/>
    <w:rsid w:val="33A475BE"/>
    <w:rsid w:val="33C137F8"/>
    <w:rsid w:val="369A381C"/>
    <w:rsid w:val="36ED7D2B"/>
    <w:rsid w:val="37CF5FD6"/>
    <w:rsid w:val="381216B5"/>
    <w:rsid w:val="38AD19AF"/>
    <w:rsid w:val="39431EEE"/>
    <w:rsid w:val="39F27144"/>
    <w:rsid w:val="3A522D3D"/>
    <w:rsid w:val="3A6D2312"/>
    <w:rsid w:val="3ACF3611"/>
    <w:rsid w:val="3B265F2E"/>
    <w:rsid w:val="3B766568"/>
    <w:rsid w:val="3ED15FEF"/>
    <w:rsid w:val="3EDF266A"/>
    <w:rsid w:val="3F233925"/>
    <w:rsid w:val="3FDD3C4F"/>
    <w:rsid w:val="40297E1C"/>
    <w:rsid w:val="44BD69EB"/>
    <w:rsid w:val="456055DE"/>
    <w:rsid w:val="45F31C63"/>
    <w:rsid w:val="45FD6761"/>
    <w:rsid w:val="461343DB"/>
    <w:rsid w:val="496A4B8E"/>
    <w:rsid w:val="4ABF4154"/>
    <w:rsid w:val="4B4134FD"/>
    <w:rsid w:val="4B543446"/>
    <w:rsid w:val="4E4364C2"/>
    <w:rsid w:val="50EA418D"/>
    <w:rsid w:val="510C0237"/>
    <w:rsid w:val="521E7BC5"/>
    <w:rsid w:val="52762767"/>
    <w:rsid w:val="52793D86"/>
    <w:rsid w:val="536C7C6B"/>
    <w:rsid w:val="53A662DF"/>
    <w:rsid w:val="53AD3873"/>
    <w:rsid w:val="53CF538E"/>
    <w:rsid w:val="557B2A48"/>
    <w:rsid w:val="55DB0099"/>
    <w:rsid w:val="57F01B04"/>
    <w:rsid w:val="596C1A28"/>
    <w:rsid w:val="59E7637A"/>
    <w:rsid w:val="59EE1099"/>
    <w:rsid w:val="5CF95551"/>
    <w:rsid w:val="5D9615A2"/>
    <w:rsid w:val="61863437"/>
    <w:rsid w:val="61E21505"/>
    <w:rsid w:val="624D40D3"/>
    <w:rsid w:val="62E354DE"/>
    <w:rsid w:val="632528C9"/>
    <w:rsid w:val="642D34F2"/>
    <w:rsid w:val="64592EAE"/>
    <w:rsid w:val="65326415"/>
    <w:rsid w:val="65605C5F"/>
    <w:rsid w:val="65AE7F5D"/>
    <w:rsid w:val="65FB0E53"/>
    <w:rsid w:val="66452A5A"/>
    <w:rsid w:val="66C33328"/>
    <w:rsid w:val="678149E0"/>
    <w:rsid w:val="68BE0B64"/>
    <w:rsid w:val="68D47E6F"/>
    <w:rsid w:val="691A127E"/>
    <w:rsid w:val="692244D0"/>
    <w:rsid w:val="6968585F"/>
    <w:rsid w:val="6A19339F"/>
    <w:rsid w:val="6BCE176C"/>
    <w:rsid w:val="6D07449C"/>
    <w:rsid w:val="6D8365BD"/>
    <w:rsid w:val="6E2A4350"/>
    <w:rsid w:val="6E3E1339"/>
    <w:rsid w:val="6E6D657F"/>
    <w:rsid w:val="6EC32276"/>
    <w:rsid w:val="6F0F1346"/>
    <w:rsid w:val="6F57027E"/>
    <w:rsid w:val="6F7810F5"/>
    <w:rsid w:val="71313AC1"/>
    <w:rsid w:val="72DB7A02"/>
    <w:rsid w:val="72DE08AE"/>
    <w:rsid w:val="72EE6ECA"/>
    <w:rsid w:val="73A51C06"/>
    <w:rsid w:val="752B4467"/>
    <w:rsid w:val="772054B7"/>
    <w:rsid w:val="77B64349"/>
    <w:rsid w:val="78404F59"/>
    <w:rsid w:val="78D0113A"/>
    <w:rsid w:val="79120DC0"/>
    <w:rsid w:val="7B086666"/>
    <w:rsid w:val="7B870239"/>
    <w:rsid w:val="7C007CD6"/>
    <w:rsid w:val="7C6C3669"/>
    <w:rsid w:val="7CFB2380"/>
    <w:rsid w:val="7DC1685E"/>
    <w:rsid w:val="7E4839B7"/>
    <w:rsid w:val="7E9D64A0"/>
    <w:rsid w:val="7F726CC2"/>
    <w:rsid w:val="7FC737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1973</Words>
  <Characters>2193</Characters>
  <Lines>0</Lines>
  <Paragraphs>0</Paragraphs>
  <TotalTime>1107</TotalTime>
  <ScaleCrop>false</ScaleCrop>
  <LinksUpToDate>false</LinksUpToDate>
  <CharactersWithSpaces>2237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2021-09-23T01:41:00Z</dcterms:created>
  <dc:creator>A</dc:creator>
  <cp:keywords>CPCA, PCB, 每周资讯, 第146期, 宏观, 终端, 企业</cp:keywords>
  <cp:lastModifiedBy>朕已阅</cp:lastModifiedBy>
  <cp:lastPrinted>2021-09-23T03:57:00Z</cp:lastPrinted>
  <dcterms:modified xsi:type="dcterms:W3CDTF">2026-08-20T05:48:50Z</dcterms:modified>
  <dc:subject>2026年8月6日至8月12日PCB行业每周资讯</dc:subject>
  <dc:title>CPCA146最终版期每周资讯热点报告（更新版）</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eyJoZGlkIjoiZWFlNjQ3NDIwZDEwN2RkZjI5ZmVhOGI2NjVlYTBkMTciLCJ1c2VySWQiOiIxMzgyMTM1ODU2In0=</vt:lpwstr>
  </property>
  <property fmtid="{D5CDD505-2E9C-101B-9397-08002B2CF9AE}" pid="3" name="KSOProductBuildVer">
    <vt:lpwstr>2052-12.1.0.28043</vt:lpwstr>
  </property>
  <property fmtid="{D5CDD505-2E9C-101B-9397-08002B2CF9AE}" pid="4" name="ICV">
    <vt:lpwstr>475234387207408695256EAD167E8E62_13</vt:lpwstr>
  </property>
</Properties>
</file>