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F6A1A">
      <w:pPr>
        <w:spacing w:line="360" w:lineRule="auto"/>
        <w:jc w:val="both"/>
      </w:pPr>
    </w:p>
    <w:p w14:paraId="287E5B2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eastAsia="仿宋" w:cs="Times New Roman"/>
          <w:color w:val="04AC5C"/>
          <w:sz w:val="32"/>
          <w:szCs w:val="24"/>
          <w:lang w:val="en-US"/>
        </w:rPr>
      </w:pPr>
      <w:r>
        <w:rPr>
          <w:rFonts w:hint="eastAsia" w:ascii="华文楷体" w:hAnsi="华文楷体" w:eastAsia="华文楷体" w:cs="华文楷体"/>
          <w:b/>
          <w:bCs/>
          <w:snapToGrid w:val="0"/>
          <w:color w:val="04AC5C"/>
          <w:kern w:val="0"/>
          <w:sz w:val="28"/>
          <w:szCs w:val="28"/>
          <w:lang w:val="en-US" w:eastAsia="zh-CN" w:bidi="ar"/>
        </w:rPr>
        <w:t>第150期</w:t>
      </w:r>
    </w:p>
    <w:p w14:paraId="62D56D6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both"/>
        <w:textAlignment w:val="baseline"/>
        <w:rPr>
          <w:rFonts w:hint="default" w:ascii="Arial" w:hAnsi="Times New Roman" w:eastAsia="仿宋" w:cs="Times New Roman"/>
          <w:color w:val="04AC5C"/>
          <w:sz w:val="21"/>
          <w:szCs w:val="24"/>
          <w:lang w:val="en-US"/>
        </w:rPr>
      </w:pPr>
      <w:r>
        <w:rPr>
          <w:rFonts w:ascii="华文楷体" w:hAnsi="华文楷体" w:eastAsia="华文楷体" w:cs="华文楷体"/>
          <w:b/>
          <w:bCs/>
          <w:snapToGrid w:val="0"/>
          <w:color w:val="04AC5C"/>
          <w:kern w:val="0"/>
          <w:sz w:val="28"/>
          <w:szCs w:val="28"/>
          <w:u w:val="single" w:color="auto"/>
          <w:lang w:val="en-US" w:eastAsia="zh-CN" w:bidi="ar"/>
        </w:rPr>
        <w:t>信息部                                            2026年9月</w:t>
      </w:r>
    </w:p>
    <w:p w14:paraId="6201E98D">
      <w:pPr>
        <w:spacing w:before="260" w:after="260" w:line="413" w:lineRule="auto"/>
        <w:jc w:val="left"/>
        <w:rPr>
          <w:rFonts w:hint="default" w:eastAsia="黑体"/>
          <w:lang w:val="en-US" w:eastAsia="zh-CN"/>
        </w:rPr>
      </w:pPr>
      <w:r>
        <w:rPr>
          <w:rFonts w:ascii="Arial" w:hAnsi="Arial" w:eastAsia="黑体"/>
          <w:b/>
          <w:sz w:val="32"/>
        </w:rPr>
        <w:t>每周资讯|前8个月我国外贸增长17.6%；8月新能源乘用车零售渗透率升至65.2%；本川智能拟投30亿元扩充AI算力PCB产能</w:t>
      </w:r>
    </w:p>
    <w:p w14:paraId="68D49C2D">
      <w:pPr>
        <w:spacing w:before="260" w:after="260" w:line="413" w:lineRule="auto"/>
        <w:ind w:firstLine="0"/>
        <w:jc w:val="left"/>
      </w:pPr>
      <w:r>
        <w:rPr>
          <w:rFonts w:hint="eastAsia" w:ascii="Arial" w:hAnsi="Arial" w:eastAsia="黑体"/>
          <w:b/>
          <w:sz w:val="32"/>
          <w:lang w:val="en-US" w:eastAsia="zh-CN"/>
        </w:rPr>
        <w:t>一、行业</w:t>
      </w:r>
    </w:p>
    <w:p w14:paraId="390C3771">
      <w:pPr>
        <w:spacing w:line="360" w:lineRule="auto"/>
        <w:jc w:val="center"/>
      </w:pPr>
      <w:r>
        <w:rPr>
          <w:rFonts w:ascii="Arial" w:hAnsi="Arial" w:eastAsia="黑体"/>
          <w:b/>
          <w:sz w:val="32"/>
        </w:rPr>
        <w:t>前8个月我国货物贸易进出口增长17.6%，机电产品出口占64%</w:t>
      </w:r>
    </w:p>
    <w:p w14:paraId="45A10AB3">
      <w:pPr>
        <w:spacing w:line="360" w:lineRule="auto"/>
        <w:ind w:firstLine="576"/>
        <w:jc w:val="left"/>
      </w:pPr>
      <w:r>
        <w:rPr>
          <w:rFonts w:ascii="Times New Roman" w:hAnsi="Times New Roman" w:eastAsia="仿宋"/>
          <w:sz w:val="32"/>
        </w:rPr>
        <w:t>9月8日，海关总署发布数据，前8个月我国货物贸易进出口总值34.78万亿元，同比增长17.6%；其中出口20.17万亿元，增长14.6%，进口14.61万亿元，增长22%。机电产品出口12.91万亿元，增长21.9%，占出口总值的64%。（海关总署）</w:t>
      </w:r>
    </w:p>
    <w:p w14:paraId="3FEA3A32">
      <w:pPr>
        <w:spacing w:line="360" w:lineRule="auto"/>
      </w:pPr>
    </w:p>
    <w:p w14:paraId="0B73890A">
      <w:pPr>
        <w:spacing w:line="360" w:lineRule="auto"/>
        <w:jc w:val="center"/>
      </w:pPr>
      <w:r>
        <w:rPr>
          <w:rFonts w:ascii="Arial" w:hAnsi="Arial" w:eastAsia="黑体"/>
          <w:b/>
          <w:sz w:val="32"/>
        </w:rPr>
        <w:t>十部门发布数智绿色协同方案，提出突破高速互联和高带宽存储</w:t>
      </w:r>
    </w:p>
    <w:p w14:paraId="5F0E5B6D">
      <w:pPr>
        <w:spacing w:line="360" w:lineRule="auto"/>
        <w:ind w:firstLine="576"/>
        <w:jc w:val="left"/>
      </w:pPr>
      <w:r>
        <w:rPr>
          <w:rFonts w:ascii="Times New Roman" w:hAnsi="Times New Roman" w:eastAsia="仿宋"/>
          <w:sz w:val="32"/>
        </w:rPr>
        <w:t>9月4日，中央网信办等十部门印发《促进数字化绿色化协同转型发展实施方案（2026—2030年）》。方案提出加强存算一体、高性能存储、数据压缩等关键技术研发，加快突破高速互联、高带宽内存、低功耗计算等核心技术，并提升算力设施、5G基站等新兴领域用能效率。（中央网信办等十部门）</w:t>
      </w:r>
    </w:p>
    <w:p w14:paraId="69AD47F4">
      <w:pPr>
        <w:spacing w:line="360" w:lineRule="auto"/>
      </w:pPr>
    </w:p>
    <w:p w14:paraId="6DBA7856">
      <w:pPr>
        <w:spacing w:line="360" w:lineRule="auto"/>
        <w:jc w:val="center"/>
      </w:pPr>
      <w:r>
        <w:rPr>
          <w:rFonts w:hint="eastAsia" w:ascii="Arial" w:hAnsi="Arial" w:eastAsia="黑体"/>
          <w:b/>
          <w:sz w:val="32"/>
        </w:rPr>
        <w:t>新增84个全国重点外资项目，涉及机电装备、化工能源等领域</w:t>
      </w:r>
    </w:p>
    <w:p w14:paraId="3CF9EE47">
      <w:pPr>
        <w:spacing w:line="360" w:lineRule="auto"/>
        <w:ind w:firstLine="576"/>
        <w:jc w:val="left"/>
      </w:pPr>
      <w:r>
        <w:rPr>
          <w:rFonts w:hint="eastAsia" w:ascii="Times New Roman" w:hAnsi="Times New Roman" w:eastAsia="仿宋"/>
          <w:sz w:val="32"/>
        </w:rPr>
        <w:t>9月8日，中国证券报记者从第二十六届投洽会获悉，近日，商务部新增84个全国重点外资项目，其中包括6个外资标志性项目（阿斯利康全球战略研发中心项目、庆鼎人工智能服务器和高速光模块高密度互连积层板项目、沙特水电公司绿电直连项目、和睦家北京医疗国际创新中心投资项目、福建奔驰二期建设项目、云顶集团国投吉能2*745兆瓦级燃气发电项目），总投资额194.6亿美元。</w:t>
      </w:r>
      <w:r>
        <w:rPr>
          <w:rFonts w:ascii="Times New Roman" w:hAnsi="Times New Roman" w:eastAsia="仿宋"/>
          <w:sz w:val="32"/>
        </w:rPr>
        <w:t>（</w:t>
      </w:r>
      <w:r>
        <w:rPr>
          <w:rFonts w:hint="eastAsia" w:ascii="Times New Roman" w:hAnsi="Times New Roman" w:eastAsia="仿宋"/>
          <w:sz w:val="32"/>
          <w:lang w:val="en-US" w:eastAsia="zh-CN"/>
        </w:rPr>
        <w:t>中国证券报</w:t>
      </w:r>
      <w:r>
        <w:rPr>
          <w:rFonts w:ascii="Times New Roman" w:hAnsi="Times New Roman" w:eastAsia="仿宋"/>
          <w:sz w:val="32"/>
        </w:rPr>
        <w:t>）</w:t>
      </w:r>
    </w:p>
    <w:p w14:paraId="47C0D899">
      <w:pPr>
        <w:spacing w:before="260" w:after="260" w:line="413" w:lineRule="auto"/>
        <w:ind w:firstLine="0"/>
        <w:jc w:val="left"/>
      </w:pPr>
      <w:r>
        <w:rPr>
          <w:rFonts w:hint="eastAsia" w:ascii="Arial" w:hAnsi="Arial" w:eastAsia="黑体"/>
          <w:b/>
          <w:sz w:val="32"/>
          <w:lang w:val="en-US" w:eastAsia="zh-CN"/>
        </w:rPr>
        <w:t>二、市场</w:t>
      </w:r>
    </w:p>
    <w:p w14:paraId="286B1702">
      <w:pPr>
        <w:spacing w:line="360" w:lineRule="auto"/>
        <w:jc w:val="center"/>
      </w:pPr>
      <w:r>
        <w:rPr>
          <w:rFonts w:ascii="Arial" w:hAnsi="Arial" w:eastAsia="黑体"/>
          <w:b/>
          <w:sz w:val="32"/>
        </w:rPr>
        <w:t>8月新能源乘用车零售100.5万辆，渗透率升至65.2%</w:t>
      </w:r>
    </w:p>
    <w:p w14:paraId="3EDF042D">
      <w:pPr>
        <w:spacing w:line="360" w:lineRule="auto"/>
        <w:ind w:firstLine="576"/>
        <w:jc w:val="left"/>
      </w:pPr>
      <w:r>
        <w:rPr>
          <w:rFonts w:ascii="Times New Roman" w:hAnsi="Times New Roman" w:eastAsia="仿宋"/>
          <w:sz w:val="32"/>
        </w:rPr>
        <w:t>9月9日，乘联分会发布8月全国乘用车市场分析。乘用车零售154.1万辆，同比下降23.6%、环比增长5.5%；新能源乘用车零售100.5万辆，同比下降10.1%、环比增长5.7%，零售渗透率升至65.2%。新能源乘用车批发151.0万辆，同比增长16.4%。（乘联分会）</w:t>
      </w:r>
    </w:p>
    <w:p w14:paraId="4A30D542">
      <w:pPr>
        <w:spacing w:line="360" w:lineRule="auto"/>
      </w:pPr>
    </w:p>
    <w:p w14:paraId="0CB0C87A">
      <w:pPr>
        <w:spacing w:line="360" w:lineRule="auto"/>
        <w:jc w:val="center"/>
      </w:pPr>
      <w:r>
        <w:rPr>
          <w:rFonts w:ascii="Arial" w:hAnsi="Arial" w:eastAsia="黑体"/>
          <w:b/>
          <w:sz w:val="32"/>
        </w:rPr>
        <w:t>全球腕戴设备二季度出货下降4.3%，端侧AI成为升级方向</w:t>
      </w:r>
    </w:p>
    <w:p w14:paraId="5B7810C3">
      <w:pPr>
        <w:spacing w:line="360" w:lineRule="auto"/>
        <w:ind w:firstLine="576"/>
        <w:jc w:val="left"/>
      </w:pPr>
      <w:r>
        <w:rPr>
          <w:rFonts w:ascii="Times New Roman" w:hAnsi="Times New Roman" w:eastAsia="仿宋"/>
          <w:sz w:val="32"/>
        </w:rPr>
        <w:t>9月9日，IDC发布数据，二季度全球腕戴设备出货量为4801万台，同比下降4.3%；其中智能手表出货3708万台，下降4.2%，手环出货1092万台，下降4.7%。在普及红利放缓后，厂商正通过端侧AI和无屏手环等新形态寻找增量。（IDC）</w:t>
      </w:r>
    </w:p>
    <w:p w14:paraId="19AE7C5F">
      <w:pPr>
        <w:spacing w:line="360" w:lineRule="auto"/>
      </w:pPr>
    </w:p>
    <w:p w14:paraId="66596D5C">
      <w:pPr>
        <w:spacing w:line="360" w:lineRule="auto"/>
      </w:pPr>
    </w:p>
    <w:p w14:paraId="01982EF3">
      <w:pPr>
        <w:spacing w:line="360" w:lineRule="auto"/>
        <w:jc w:val="center"/>
      </w:pPr>
      <w:r>
        <w:rPr>
          <w:rFonts w:hint="eastAsia" w:ascii="Arial" w:hAnsi="Arial" w:eastAsia="黑体"/>
          <w:b/>
          <w:sz w:val="32"/>
        </w:rPr>
        <w:t>柏林消费电子展AI终端密集亮相，中企数量接近参展商一半</w:t>
      </w:r>
    </w:p>
    <w:p w14:paraId="03F5C087">
      <w:pPr>
        <w:spacing w:line="360" w:lineRule="auto"/>
        <w:ind w:firstLine="576"/>
        <w:jc w:val="left"/>
        <w:rPr>
          <w:rFonts w:hint="eastAsia" w:eastAsia="仿宋"/>
          <w:lang w:eastAsia="zh-CN"/>
        </w:rPr>
      </w:pPr>
      <w:r>
        <w:rPr>
          <w:rFonts w:hint="eastAsia" w:ascii="Times New Roman" w:hAnsi="Times New Roman" w:eastAsia="仿宋"/>
          <w:sz w:val="32"/>
          <w:lang w:val="en-US" w:eastAsia="zh-CN"/>
        </w:rPr>
        <w:t>9月4日至8日，2026年柏林国际消费电子展举行，全球1900余家展商参展，其中中国企业超过900家。展会新品覆盖机器人、AI眼镜、智能家居和智慧出行等领域，AI由单点功能向终端系统化应用加快渗透，消费电子产品继续向智能化和场景化升级。（人民日报）</w:t>
      </w:r>
    </w:p>
    <w:p w14:paraId="1F5AEA0F">
      <w:pPr>
        <w:spacing w:line="360" w:lineRule="auto"/>
      </w:pPr>
    </w:p>
    <w:p w14:paraId="2BD96FC9">
      <w:pPr>
        <w:spacing w:before="260" w:after="260" w:line="413" w:lineRule="auto"/>
        <w:ind w:firstLine="0"/>
        <w:jc w:val="left"/>
      </w:pPr>
      <w:r>
        <w:rPr>
          <w:rFonts w:hint="eastAsia" w:ascii="Arial" w:hAnsi="Arial" w:eastAsia="黑体"/>
          <w:b/>
          <w:sz w:val="32"/>
          <w:lang w:val="en-US" w:eastAsia="zh-CN"/>
        </w:rPr>
        <w:t>三、企业</w:t>
      </w:r>
    </w:p>
    <w:p w14:paraId="4848F763">
      <w:pPr>
        <w:spacing w:line="360" w:lineRule="auto"/>
        <w:jc w:val="center"/>
      </w:pPr>
      <w:r>
        <w:rPr>
          <w:rFonts w:ascii="Arial" w:hAnsi="Arial" w:eastAsia="黑体"/>
          <w:b/>
          <w:sz w:val="32"/>
        </w:rPr>
        <w:t>本川智能拟合计30亿元扩产AI算力高多层板和HDI</w:t>
      </w:r>
    </w:p>
    <w:p w14:paraId="0A82C8E6">
      <w:pPr>
        <w:spacing w:line="360" w:lineRule="auto"/>
        <w:ind w:firstLine="576"/>
        <w:jc w:val="left"/>
      </w:pPr>
      <w:r>
        <w:rPr>
          <w:rFonts w:ascii="Times New Roman" w:hAnsi="Times New Roman" w:eastAsia="仿宋"/>
          <w:sz w:val="32"/>
        </w:rPr>
        <w:t>9月8日，本川智能公告，拟在南京溧水投资约20亿元建设年产150万平方米AI算力高多层、高阶HDI电路板项目，预计5年完成；全资子公司珠海硕鸿同时拟投资不超过10亿元建设二期华南智造基地，产品包括HDI板、高多层板及任意阶HDI板。（本川智能公告）</w:t>
      </w:r>
    </w:p>
    <w:p w14:paraId="222F14EC">
      <w:pPr>
        <w:spacing w:line="360" w:lineRule="auto"/>
      </w:pPr>
    </w:p>
    <w:p w14:paraId="54DBED58">
      <w:pPr>
        <w:spacing w:line="360" w:lineRule="auto"/>
        <w:jc w:val="center"/>
      </w:pPr>
      <w:r>
        <w:rPr>
          <w:rFonts w:ascii="Arial" w:hAnsi="Arial" w:eastAsia="黑体"/>
          <w:b/>
          <w:sz w:val="32"/>
        </w:rPr>
        <w:t>景旺电子通过港交所上市聆讯，推进H股发行上市</w:t>
      </w:r>
    </w:p>
    <w:p w14:paraId="3F5DB8FF">
      <w:pPr>
        <w:spacing w:line="360" w:lineRule="auto"/>
        <w:ind w:firstLine="576"/>
        <w:jc w:val="left"/>
      </w:pPr>
      <w:r>
        <w:rPr>
          <w:rFonts w:ascii="Times New Roman" w:hAnsi="Times New Roman" w:eastAsia="仿宋"/>
          <w:sz w:val="32"/>
        </w:rPr>
        <w:t>9月7日，港交所披露景旺电子聆讯后资料集，公司H股发行上市通过聆讯；9月9日，景旺电子公告刊发相关资料。公司已于6月完成中国证监会备案，本次发行仍需履行香港监管及发行定价等后续程序，具体发行规模和上市时间尚未确定。（景旺电子公告）</w:t>
      </w:r>
    </w:p>
    <w:p w14:paraId="5506A226">
      <w:pPr>
        <w:spacing w:line="360" w:lineRule="auto"/>
      </w:pPr>
    </w:p>
    <w:p w14:paraId="7A35894A">
      <w:pPr>
        <w:spacing w:line="360" w:lineRule="auto"/>
        <w:jc w:val="center"/>
      </w:pPr>
      <w:r>
        <w:rPr>
          <w:rFonts w:ascii="Arial" w:hAnsi="Arial" w:eastAsia="黑体"/>
          <w:b/>
          <w:sz w:val="32"/>
        </w:rPr>
        <w:t>超颖电子发行H股获间接控股股东股东会审议通过</w:t>
      </w:r>
    </w:p>
    <w:p w14:paraId="3EEFF594">
      <w:pPr>
        <w:spacing w:line="360" w:lineRule="auto"/>
        <w:ind w:firstLine="576"/>
        <w:jc w:val="left"/>
      </w:pPr>
      <w:r>
        <w:rPr>
          <w:rFonts w:ascii="Times New Roman" w:hAnsi="Times New Roman" w:eastAsia="仿宋"/>
          <w:sz w:val="32"/>
        </w:rPr>
        <w:t>9月4日，超颖电子公告，间接控股股东定颖投资控股已于9月2日召开临时股东会，审议通过超颖电子发行H股并在港交所主板上市事项。该计划尚需超颖电子股东会审议，并取得中国证监会备案及香港监管机构、港交所批准或核准。（超颖电子公告）</w:t>
      </w:r>
    </w:p>
    <w:p w14:paraId="13A1F078">
      <w:pPr>
        <w:spacing w:line="360" w:lineRule="auto"/>
      </w:pPr>
    </w:p>
    <w:p w14:paraId="30D26102">
      <w:pPr>
        <w:spacing w:line="360" w:lineRule="auto"/>
        <w:jc w:val="center"/>
      </w:pPr>
      <w:r>
        <w:rPr>
          <w:rFonts w:ascii="Arial" w:hAnsi="Arial" w:eastAsia="黑体"/>
          <w:b/>
          <w:sz w:val="32"/>
        </w:rPr>
        <w:t>沪电股份泰国基地转入规模化运营，二季度单季扭亏</w:t>
      </w:r>
    </w:p>
    <w:p w14:paraId="23003CC9">
      <w:pPr>
        <w:spacing w:line="360" w:lineRule="auto"/>
        <w:ind w:firstLine="576"/>
        <w:jc w:val="left"/>
      </w:pPr>
      <w:r>
        <w:rPr>
          <w:rFonts w:ascii="Times New Roman" w:hAnsi="Times New Roman" w:eastAsia="仿宋"/>
          <w:sz w:val="32"/>
        </w:rPr>
        <w:t>9月7日，沪电股份披露投资者关系活动记录，泰国子公司已由产能爬坡期逐步转入规模化运营，并于二季度实现单季扭亏。上半年公司数据通讯应用领域PCB收入113.30亿元，同比增长73.46%，高速交换机、AI服务器和高性能计算需求构成主要增量。（</w:t>
      </w:r>
      <w:r>
        <w:rPr>
          <w:rFonts w:hint="eastAsia" w:ascii="Times New Roman" w:hAnsi="Times New Roman" w:eastAsia="仿宋"/>
          <w:sz w:val="32"/>
          <w:lang w:val="en-US" w:eastAsia="zh-CN"/>
        </w:rPr>
        <w:t>证券时报</w:t>
      </w:r>
      <w:bookmarkStart w:id="0" w:name="_GoBack"/>
      <w:bookmarkEnd w:id="0"/>
      <w:r>
        <w:rPr>
          <w:rFonts w:ascii="Times New Roman" w:hAnsi="Times New Roman" w:eastAsia="仿宋"/>
          <w:sz w:val="32"/>
        </w:rPr>
        <w:t>）</w:t>
      </w:r>
    </w:p>
    <w:p w14:paraId="7CCE28BB">
      <w:pPr>
        <w:spacing w:line="360" w:lineRule="auto"/>
      </w:pPr>
    </w:p>
    <w:p w14:paraId="7AD78662">
      <w:pPr>
        <w:spacing w:line="360" w:lineRule="auto"/>
        <w:ind w:firstLine="576"/>
        <w:jc w:val="left"/>
        <w:rPr>
          <w:rFonts w:hint="eastAsia" w:ascii="Arial" w:hAnsi="Arial" w:eastAsia="黑体"/>
          <w:b/>
          <w:sz w:val="32"/>
        </w:rPr>
      </w:pPr>
      <w:r>
        <w:rPr>
          <w:rFonts w:hint="eastAsia" w:ascii="Arial" w:hAnsi="Arial" w:eastAsia="黑体"/>
          <w:b/>
          <w:sz w:val="32"/>
        </w:rPr>
        <w:t>德福科技推进5万吨高端电子电路铜箔产能建设</w:t>
      </w:r>
    </w:p>
    <w:p w14:paraId="554F2EE1">
      <w:pPr>
        <w:spacing w:line="360" w:lineRule="auto"/>
        <w:ind w:firstLine="576"/>
        <w:jc w:val="left"/>
        <w:rPr>
          <w:rFonts w:hint="default" w:ascii="Times New Roman" w:hAnsi="Times New Roman" w:eastAsia="仿宋"/>
          <w:sz w:val="32"/>
          <w:lang w:val="en-US" w:eastAsia="zh-CN"/>
        </w:rPr>
      </w:pPr>
      <w:r>
        <w:rPr>
          <w:rFonts w:hint="eastAsia" w:ascii="Times New Roman" w:hAnsi="Times New Roman" w:eastAsia="仿宋"/>
          <w:sz w:val="32"/>
        </w:rPr>
        <w:t>9月9日，德福科技披露投资者关系活动记录，公司5万吨高端电子电路铜箔产能建设计划正在推进，预计2027年二季度开始分批投产。公司表示当前高端电子电路铜箔下游景气度较高，同时将载体铜箔列为重点布局的高端新材料业务。（</w:t>
      </w:r>
      <w:r>
        <w:rPr>
          <w:rFonts w:hint="eastAsia" w:ascii="Times New Roman" w:hAnsi="Times New Roman" w:eastAsia="仿宋"/>
          <w:sz w:val="32"/>
          <w:lang w:val="en-US" w:eastAsia="zh-CN"/>
        </w:rPr>
        <w:t>财联社</w:t>
      </w:r>
      <w:r>
        <w:rPr>
          <w:rFonts w:hint="eastAsia" w:ascii="Times New Roman" w:hAnsi="Times New Roman" w:eastAsia="仿宋"/>
          <w:sz w:val="32"/>
        </w:rPr>
        <w:t>）</w:t>
      </w:r>
    </w:p>
    <w:p w14:paraId="21927C11">
      <w:pPr>
        <w:spacing w:line="360" w:lineRule="auto"/>
        <w:jc w:val="left"/>
        <w:rPr>
          <w:rFonts w:hint="eastAsia" w:ascii="Times New Roman" w:hAnsi="Times New Roman" w:eastAsia="仿宋"/>
          <w:sz w:val="32"/>
        </w:rPr>
      </w:pPr>
    </w:p>
    <w:p w14:paraId="2BD43F3A">
      <w:pPr>
        <w:spacing w:line="360" w:lineRule="auto"/>
        <w:jc w:val="center"/>
        <w:rPr>
          <w:rFonts w:hint="eastAsia"/>
        </w:rPr>
      </w:pPr>
      <w:r>
        <w:rPr>
          <w:rFonts w:hint="eastAsia" w:ascii="Arial" w:hAnsi="Arial" w:eastAsia="黑体"/>
          <w:b/>
          <w:sz w:val="32"/>
        </w:rPr>
        <w:t>广合科技完成对黄石广合9600万元增资工商变更</w:t>
      </w:r>
    </w:p>
    <w:p w14:paraId="76DA8B00">
      <w:pPr>
        <w:spacing w:line="360" w:lineRule="auto"/>
        <w:ind w:firstLine="576"/>
        <w:jc w:val="left"/>
        <w:rPr>
          <w:rFonts w:hint="eastAsia" w:ascii="Times New Roman" w:hAnsi="Times New Roman" w:eastAsia="仿宋"/>
          <w:sz w:val="32"/>
        </w:rPr>
      </w:pPr>
      <w:r>
        <w:rPr>
          <w:rFonts w:hint="eastAsia" w:ascii="Times New Roman" w:hAnsi="Times New Roman" w:eastAsia="仿宋"/>
          <w:sz w:val="32"/>
        </w:rPr>
        <w:t>9月9日，广合科技公告，使用募集资金向全资子公司黄石广合增资9600万元的工商变更登记已完成，黄石广合注册资本由7.80亿元增至8.76亿元。增资资金用于实施广合电路多高层精密线路板项目一期第二阶段工程，增资前后公司持股比例均为100%。（</w:t>
      </w:r>
      <w:r>
        <w:rPr>
          <w:rFonts w:hint="eastAsia" w:ascii="Times New Roman" w:hAnsi="Times New Roman" w:eastAsia="仿宋"/>
          <w:sz w:val="32"/>
          <w:lang w:val="en-US" w:eastAsia="zh-CN"/>
        </w:rPr>
        <w:t>WIND</w:t>
      </w:r>
      <w:r>
        <w:rPr>
          <w:rFonts w:hint="eastAsia" w:ascii="Times New Roman" w:hAnsi="Times New Roman" w:eastAsia="仿宋"/>
          <w:sz w:val="32"/>
        </w:rPr>
        <w:t>）</w:t>
      </w:r>
    </w:p>
    <w:p w14:paraId="0FF45672">
      <w:pPr>
        <w:spacing w:line="360" w:lineRule="auto"/>
        <w:jc w:val="left"/>
        <w:rPr>
          <w:rFonts w:hint="eastAsia" w:ascii="Times New Roman" w:hAnsi="Times New Roman" w:eastAsia="仿宋"/>
          <w:sz w:val="32"/>
        </w:rPr>
      </w:pPr>
    </w:p>
    <w:p w14:paraId="542FB143">
      <w:pPr>
        <w:spacing w:line="360" w:lineRule="auto"/>
        <w:jc w:val="center"/>
        <w:rPr>
          <w:rFonts w:hint="eastAsia"/>
        </w:rPr>
      </w:pPr>
      <w:r>
        <w:rPr>
          <w:rFonts w:hint="eastAsia" w:ascii="Arial" w:hAnsi="Arial" w:eastAsia="黑体"/>
          <w:b/>
          <w:sz w:val="32"/>
        </w:rPr>
        <w:t>锐翔智能取得首条光模块自动组装线订单，延伸PCB封装设备</w:t>
      </w:r>
    </w:p>
    <w:p w14:paraId="144A402C">
      <w:pPr>
        <w:spacing w:line="360" w:lineRule="auto"/>
        <w:ind w:firstLine="576"/>
        <w:jc w:val="left"/>
        <w:rPr>
          <w:rFonts w:hint="default" w:ascii="Times New Roman" w:hAnsi="Times New Roman" w:eastAsia="仿宋"/>
          <w:sz w:val="32"/>
          <w:lang w:val="en-US" w:eastAsia="zh-CN"/>
        </w:rPr>
      </w:pPr>
      <w:r>
        <w:rPr>
          <w:rFonts w:hint="eastAsia" w:ascii="Times New Roman" w:hAnsi="Times New Roman" w:eastAsia="仿宋"/>
          <w:sz w:val="32"/>
        </w:rPr>
        <w:t>9月4日，锐翔智能披露投资者关系活动记录，公司近期取得首条光模块自动化组装设备生产线订单，金额500多万元，预计11月交付；子公司奇川精密的设备已能满足某上市公司新型PCB芯片封装工艺的嵌埋环节要求，但后续能否形成销售仍存在不确定性。（</w:t>
      </w:r>
      <w:r>
        <w:rPr>
          <w:rFonts w:hint="eastAsia" w:ascii="Times New Roman" w:hAnsi="Times New Roman" w:eastAsia="仿宋"/>
          <w:sz w:val="32"/>
          <w:lang w:val="en-US" w:eastAsia="zh-CN"/>
        </w:rPr>
        <w:t>证券时报</w:t>
      </w:r>
      <w:r>
        <w:rPr>
          <w:rFonts w:hint="eastAsia" w:ascii="Times New Roman" w:hAnsi="Times New Roman" w:eastAsia="仿宋"/>
          <w:sz w:val="32"/>
        </w:rPr>
        <w:t>）</w:t>
      </w:r>
    </w:p>
    <w:p w14:paraId="509F01DF">
      <w:pPr>
        <w:spacing w:line="360" w:lineRule="auto"/>
        <w:ind w:firstLine="576"/>
        <w:jc w:val="left"/>
        <w:rPr>
          <w:rFonts w:hint="default" w:ascii="Times New Roman" w:hAnsi="Times New Roman" w:eastAsia="仿宋"/>
          <w:sz w:val="32"/>
          <w:lang w:val="en-US" w:eastAsia="zh-CN"/>
        </w:rPr>
      </w:pPr>
    </w:p>
    <w:p w14:paraId="46DBC002">
      <w:pPr>
        <w:spacing w:line="360" w:lineRule="auto"/>
        <w:jc w:val="left"/>
        <w:rPr>
          <w:rFonts w:hint="eastAsia" w:ascii="Times New Roman" w:hAnsi="Times New Roman" w:eastAsia="仿宋"/>
          <w:sz w:val="32"/>
        </w:rPr>
      </w:pPr>
    </w:p>
    <w:p w14:paraId="5BFEFDA5">
      <w:pPr>
        <w:spacing w:line="360" w:lineRule="auto"/>
        <w:jc w:val="right"/>
      </w:pPr>
      <w:r>
        <w:rPr>
          <w:rFonts w:ascii="Arial" w:hAnsi="Arial" w:eastAsia="黑体"/>
          <w:b/>
          <w:sz w:val="32"/>
        </w:rPr>
        <w:t>更多精彩内容请扫描下方二维码，关注CPCA服务号</w:t>
      </w:r>
    </w:p>
    <w:p w14:paraId="6A4A3C9A">
      <w:pPr>
        <w:spacing w:line="360" w:lineRule="auto"/>
        <w:jc w:val="right"/>
      </w:pPr>
      <w:r>
        <w:rPr>
          <w:rFonts w:ascii="Times New Roman" w:hAnsi="Times New Roman" w:eastAsia="仿宋"/>
          <w:sz w:val="32"/>
        </w:rPr>
        <w:t>撰稿人：张国旗</w:t>
      </w:r>
    </w:p>
    <w:p w14:paraId="5B639555">
      <w:pPr>
        <w:spacing w:line="360" w:lineRule="auto"/>
        <w:jc w:val="right"/>
      </w:pPr>
      <w:r>
        <w:rPr>
          <w:rFonts w:ascii="华文仿宋" w:hAnsi="华文仿宋" w:eastAsia="华文仿宋"/>
          <w:sz w:val="28"/>
        </w:rPr>
        <w:t>审核：张运</w:t>
      </w:r>
    </w:p>
    <w:p w14:paraId="044B3D61">
      <w:pPr>
        <w:widowControl w:val="0"/>
        <w:bidi w:val="0"/>
        <w:spacing w:line="240" w:lineRule="auto"/>
        <w:ind w:left="0" w:leftChars="0" w:firstLine="0" w:firstLineChars="0"/>
        <w:jc w:val="right"/>
        <w:rPr>
          <w:rFonts w:hint="default" w:ascii="Times New Roman" w:hAnsi="Times New Roman" w:eastAsia="仿宋" w:cs="Times New Roman"/>
          <w:sz w:val="32"/>
          <w:szCs w:val="24"/>
          <w:lang w:val="en-US" w:eastAsia="zh-CN"/>
        </w:rPr>
      </w:pPr>
      <w:r>
        <w:rPr>
          <w:rFonts w:ascii="Times New Roman" w:hAnsi="Times New Roman" w:eastAsia="仿宋" w:cs="Times New Roman"/>
          <w:sz w:val="32"/>
          <w:szCs w:val="24"/>
        </w:rPr>
        <w:drawing>
          <wp:inline distT="0" distB="0" distL="114300" distR="114300">
            <wp:extent cx="1187450" cy="1168400"/>
            <wp:effectExtent l="0" t="0" r="6350" b="0"/>
            <wp:docPr id="3" name="图片 10"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age: image2.png"/>
                    <pic:cNvPicPr>
                      <a:picLocks noChangeAspect="1"/>
                    </pic:cNvPicPr>
                  </pic:nvPicPr>
                  <pic:blipFill>
                    <a:blip r:embed="rId5"/>
                    <a:stretch>
                      <a:fillRect/>
                    </a:stretch>
                  </pic:blipFill>
                  <pic:spPr>
                    <a:xfrm>
                      <a:off x="0" y="0"/>
                      <a:ext cx="1187450" cy="1168400"/>
                    </a:xfrm>
                    <a:prstGeom prst="rect">
                      <a:avLst/>
                    </a:prstGeom>
                    <a:noFill/>
                    <a:ln>
                      <a:noFill/>
                    </a:ln>
                  </pic:spPr>
                </pic:pic>
              </a:graphicData>
            </a:graphic>
          </wp:inline>
        </w:drawing>
      </w:r>
    </w:p>
    <w:p w14:paraId="077ACD8E">
      <w:r>
        <w:rPr>
          <w:rFonts w:hint="default" w:ascii="Times New Roman" w:hAnsi="Times New Roman" w:eastAsia="仿宋" w:cs="Times New Roman"/>
          <w:kern w:val="0"/>
          <w:sz w:val="24"/>
          <w:szCs w:val="24"/>
          <w:lang w:val="en-US" w:eastAsia="zh-CN" w:bidi="ar"/>
        </w:rPr>
        <w:drawing>
          <wp:inline distT="0" distB="0" distL="114300" distR="114300">
            <wp:extent cx="5273675" cy="3503295"/>
            <wp:effectExtent l="0" t="0" r="9525" b="1905"/>
            <wp:docPr id="2" name="图片 2" descr="467b3544aa10c7b69a0d3f65ce8dd4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67b3544aa10c7b69a0d3f65ce8dd4d2"/>
                    <pic:cNvPicPr>
                      <a:picLocks noChangeAspect="1"/>
                    </pic:cNvPicPr>
                  </pic:nvPicPr>
                  <pic:blipFill>
                    <a:blip r:embed="rId6"/>
                    <a:stretch>
                      <a:fillRect/>
                    </a:stretch>
                  </pic:blipFill>
                  <pic:spPr>
                    <a:xfrm>
                      <a:off x="0" y="0"/>
                      <a:ext cx="5273675" cy="3503295"/>
                    </a:xfrm>
                    <a:prstGeom prst="rect">
                      <a:avLst/>
                    </a:prstGeom>
                  </pic:spPr>
                </pic:pic>
              </a:graphicData>
            </a:graphic>
          </wp:inline>
        </w:drawing>
      </w:r>
    </w:p>
    <w:sectPr>
      <w:headerReference r:id="rId3" w:type="default"/>
      <w:pgSz w:w="11906" w:h="16838"/>
      <w:pgMar w:top="156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F4FE4">
    <w:pPr>
      <w:pStyle w:val="4"/>
      <w:pBdr>
        <w:bottom w:val="none" w:color="auto" w:sz="0" w:space="0"/>
      </w:pBdr>
      <w:jc w:val="both"/>
    </w:pPr>
    <w:r>
      <w:drawing>
        <wp:anchor distT="0" distB="0" distL="114300" distR="114300" simplePos="0" relativeHeight="251659264" behindDoc="1" locked="0" layoutInCell="1" allowOverlap="1">
          <wp:simplePos x="0" y="0"/>
          <wp:positionH relativeFrom="margin">
            <wp:align>center</wp:align>
          </wp:positionH>
          <wp:positionV relativeFrom="paragraph">
            <wp:posOffset>69215</wp:posOffset>
          </wp:positionV>
          <wp:extent cx="6782435" cy="513080"/>
          <wp:effectExtent l="0" t="0" r="0" b="1270"/>
          <wp:wrapTight wrapText="bothSides">
            <wp:wrapPolygon>
              <wp:start x="15713" y="0"/>
              <wp:lineTo x="0" y="0"/>
              <wp:lineTo x="0" y="18446"/>
              <wp:lineTo x="5703" y="20851"/>
              <wp:lineTo x="21477" y="20851"/>
              <wp:lineTo x="21477" y="17644"/>
              <wp:lineTo x="20203" y="13634"/>
              <wp:lineTo x="19232" y="12832"/>
              <wp:lineTo x="21355" y="8822"/>
              <wp:lineTo x="21477" y="4812"/>
              <wp:lineTo x="20809" y="0"/>
              <wp:lineTo x="15713" y="0"/>
            </wp:wrapPolygon>
          </wp:wrapTight>
          <wp:docPr id="1" name="图片 1" descr="C:\Users\Administrator\Desktop\未标题-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未标题-1.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782585" cy="5130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87"/>
    <w:rsid w:val="00065C06"/>
    <w:rsid w:val="0035113B"/>
    <w:rsid w:val="003A66A4"/>
    <w:rsid w:val="004F2A87"/>
    <w:rsid w:val="006B3D1E"/>
    <w:rsid w:val="007065AE"/>
    <w:rsid w:val="0073199B"/>
    <w:rsid w:val="007456A0"/>
    <w:rsid w:val="008355BB"/>
    <w:rsid w:val="009014D3"/>
    <w:rsid w:val="00C372FC"/>
    <w:rsid w:val="00D65DCA"/>
    <w:rsid w:val="00E70812"/>
    <w:rsid w:val="00F70C01"/>
    <w:rsid w:val="00FF5190"/>
    <w:rsid w:val="045F663E"/>
    <w:rsid w:val="06B47FC9"/>
    <w:rsid w:val="071C1AB9"/>
    <w:rsid w:val="07221569"/>
    <w:rsid w:val="07DD40F6"/>
    <w:rsid w:val="083B7C49"/>
    <w:rsid w:val="0CB1267E"/>
    <w:rsid w:val="0E0A67C5"/>
    <w:rsid w:val="0E220FBD"/>
    <w:rsid w:val="0E73679E"/>
    <w:rsid w:val="0FA436B7"/>
    <w:rsid w:val="0FAD6545"/>
    <w:rsid w:val="0FC0235B"/>
    <w:rsid w:val="0FCC54B4"/>
    <w:rsid w:val="10CF4D8A"/>
    <w:rsid w:val="13A55F62"/>
    <w:rsid w:val="164B0998"/>
    <w:rsid w:val="16E96798"/>
    <w:rsid w:val="18700773"/>
    <w:rsid w:val="1CDA2E0B"/>
    <w:rsid w:val="21A55BAC"/>
    <w:rsid w:val="21A60DC4"/>
    <w:rsid w:val="225C17EC"/>
    <w:rsid w:val="236405A0"/>
    <w:rsid w:val="25AF1BE4"/>
    <w:rsid w:val="25B55B0A"/>
    <w:rsid w:val="25EE16C9"/>
    <w:rsid w:val="264A2919"/>
    <w:rsid w:val="266175BF"/>
    <w:rsid w:val="27003495"/>
    <w:rsid w:val="28C049EA"/>
    <w:rsid w:val="28FD408E"/>
    <w:rsid w:val="29163431"/>
    <w:rsid w:val="29EF0897"/>
    <w:rsid w:val="2B767FBE"/>
    <w:rsid w:val="2BF15CE7"/>
    <w:rsid w:val="2D364384"/>
    <w:rsid w:val="2DC669A6"/>
    <w:rsid w:val="2E4775E3"/>
    <w:rsid w:val="2EDE3EE6"/>
    <w:rsid w:val="315179C6"/>
    <w:rsid w:val="33274995"/>
    <w:rsid w:val="33A475BE"/>
    <w:rsid w:val="33C137F8"/>
    <w:rsid w:val="369A381C"/>
    <w:rsid w:val="36ED7D2B"/>
    <w:rsid w:val="37CF5FD6"/>
    <w:rsid w:val="381216B5"/>
    <w:rsid w:val="38AD19AF"/>
    <w:rsid w:val="39431EEE"/>
    <w:rsid w:val="39F27144"/>
    <w:rsid w:val="3A522D3D"/>
    <w:rsid w:val="3A6D2312"/>
    <w:rsid w:val="3ACF3611"/>
    <w:rsid w:val="3B265F2E"/>
    <w:rsid w:val="3B766568"/>
    <w:rsid w:val="3ED15FEF"/>
    <w:rsid w:val="3EDF266A"/>
    <w:rsid w:val="3F233925"/>
    <w:rsid w:val="3FDD3C4F"/>
    <w:rsid w:val="40297E1C"/>
    <w:rsid w:val="44BD69EB"/>
    <w:rsid w:val="456055DE"/>
    <w:rsid w:val="45F31C63"/>
    <w:rsid w:val="45FD6761"/>
    <w:rsid w:val="461343DB"/>
    <w:rsid w:val="496A4B8E"/>
    <w:rsid w:val="4ABF4154"/>
    <w:rsid w:val="4B4134FD"/>
    <w:rsid w:val="4B543446"/>
    <w:rsid w:val="4E4364C2"/>
    <w:rsid w:val="50EA418D"/>
    <w:rsid w:val="510C0237"/>
    <w:rsid w:val="521E7BC5"/>
    <w:rsid w:val="52762767"/>
    <w:rsid w:val="52793D86"/>
    <w:rsid w:val="536C7C6B"/>
    <w:rsid w:val="53A662DF"/>
    <w:rsid w:val="53AD3873"/>
    <w:rsid w:val="53CF538E"/>
    <w:rsid w:val="557B2A48"/>
    <w:rsid w:val="55DB0099"/>
    <w:rsid w:val="57F01B04"/>
    <w:rsid w:val="596C1A28"/>
    <w:rsid w:val="59E7637A"/>
    <w:rsid w:val="59EE1099"/>
    <w:rsid w:val="5CF95551"/>
    <w:rsid w:val="5D9615A2"/>
    <w:rsid w:val="61863437"/>
    <w:rsid w:val="61E21505"/>
    <w:rsid w:val="624D40D3"/>
    <w:rsid w:val="62E354DE"/>
    <w:rsid w:val="632528C9"/>
    <w:rsid w:val="642D34F2"/>
    <w:rsid w:val="64592EAE"/>
    <w:rsid w:val="65326415"/>
    <w:rsid w:val="65605C5F"/>
    <w:rsid w:val="65AE7F5D"/>
    <w:rsid w:val="65FB0E53"/>
    <w:rsid w:val="66452A5A"/>
    <w:rsid w:val="66C33328"/>
    <w:rsid w:val="678149E0"/>
    <w:rsid w:val="68BE0B64"/>
    <w:rsid w:val="68D47E6F"/>
    <w:rsid w:val="691A127E"/>
    <w:rsid w:val="692244D0"/>
    <w:rsid w:val="6968585F"/>
    <w:rsid w:val="6A19339F"/>
    <w:rsid w:val="6BCE176C"/>
    <w:rsid w:val="6D07449C"/>
    <w:rsid w:val="6D8365BD"/>
    <w:rsid w:val="6E2A4350"/>
    <w:rsid w:val="6E3E1339"/>
    <w:rsid w:val="6E6D657F"/>
    <w:rsid w:val="6EC32276"/>
    <w:rsid w:val="6F0F1346"/>
    <w:rsid w:val="6F57027E"/>
    <w:rsid w:val="6F7810F5"/>
    <w:rsid w:val="71313AC1"/>
    <w:rsid w:val="72DB7A02"/>
    <w:rsid w:val="72DE08AE"/>
    <w:rsid w:val="72EE6ECA"/>
    <w:rsid w:val="73A51C06"/>
    <w:rsid w:val="752B4467"/>
    <w:rsid w:val="772054B7"/>
    <w:rsid w:val="77B64349"/>
    <w:rsid w:val="78404F59"/>
    <w:rsid w:val="78D0113A"/>
    <w:rsid w:val="79120DC0"/>
    <w:rsid w:val="7B086666"/>
    <w:rsid w:val="7B870239"/>
    <w:rsid w:val="7C007CD6"/>
    <w:rsid w:val="7C6C3669"/>
    <w:rsid w:val="7CFB2380"/>
    <w:rsid w:val="7DC1685E"/>
    <w:rsid w:val="7E4839B7"/>
    <w:rsid w:val="7E9D64A0"/>
    <w:rsid w:val="7F726CC2"/>
    <w:rsid w:val="7FC7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1842</Words>
  <Characters>2064</Characters>
  <Lines>0</Lines>
  <Paragraphs>0</Paragraphs>
  <TotalTime>1213</TotalTime>
  <ScaleCrop>false</ScaleCrop>
  <LinksUpToDate>false</LinksUpToDate>
  <CharactersWithSpaces>2108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2021-09-23T01:41:00Z</dcterms:created>
  <dc:creator>A</dc:creator>
  <cp:keywords>CPCA, PCB, 每周资讯, 第149期, 宏观, 市场, 企业</cp:keywords>
  <cp:lastModifiedBy>朕已阅</cp:lastModifiedBy>
  <cp:lastPrinted>2021-09-23T03:57:00Z</cp:lastPrinted>
  <dcterms:modified xsi:type="dcterms:W3CDTF">2026-09-10T05:10:27Z</dcterms:modified>
  <dc:subject>2026年8月27日至9月2日PCB行业每周资讯</dc:subject>
  <dc:title>CPCA149期每周资讯热点报告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eyJoZGlkIjoiZWFlNjQ3NDIwZDEwN2RkZjI5ZmVhOGI2NjVlYTBkMTciLCJ1c2VySWQiOiIxMzgyMTM1ODU2In0=</vt:lpwstr>
  </property>
  <property fmtid="{D5CDD505-2E9C-101B-9397-08002B2CF9AE}" pid="3" name="KSOProductBuildVer">
    <vt:lpwstr>2052-12.1.0.28505</vt:lpwstr>
  </property>
  <property fmtid="{D5CDD505-2E9C-101B-9397-08002B2CF9AE}" pid="4" name="ICV">
    <vt:lpwstr>475234387207408695256EAD167E8E62_13</vt:lpwstr>
  </property>
</Properties>
</file>