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F6A1A">
      <w:pPr>
        <w:spacing w:line="360" w:lineRule="auto"/>
        <w:jc w:val="both"/>
      </w:pPr>
    </w:p>
    <w:p w14:paraId="287E5B2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Times New Roman" w:hAnsi="Times New Roman" w:eastAsia="仿宋" w:cs="Times New Roman"/>
          <w:color w:val="04AC5C"/>
          <w:sz w:val="32"/>
          <w:szCs w:val="24"/>
          <w:lang w:val="en-US"/>
        </w:rPr>
      </w:pPr>
      <w:r>
        <w:rPr>
          <w:rFonts w:hint="eastAsia" w:ascii="华文楷体" w:hAnsi="华文楷体" w:eastAsia="华文楷体" w:cs="华文楷体"/>
          <w:b/>
          <w:bCs/>
          <w:snapToGrid w:val="0"/>
          <w:color w:val="04AC5C"/>
          <w:kern w:val="0"/>
          <w:sz w:val="28"/>
          <w:szCs w:val="28"/>
          <w:lang w:val="en-US" w:eastAsia="zh-CN" w:bidi="ar"/>
        </w:rPr>
        <w:t>第152期</w:t>
      </w:r>
    </w:p>
    <w:p w14:paraId="62D56D6D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default" w:ascii="Arial" w:hAnsi="Times New Roman" w:eastAsia="仿宋" w:cs="Times New Roman"/>
          <w:color w:val="04AC5C"/>
          <w:sz w:val="21"/>
          <w:szCs w:val="24"/>
          <w:lang w:val="en-US"/>
        </w:rPr>
      </w:pPr>
      <w:r>
        <w:rPr>
          <w:rFonts w:ascii="华文楷体" w:hAnsi="华文楷体" w:eastAsia="华文楷体" w:cs="华文楷体"/>
          <w:b/>
          <w:bCs/>
          <w:snapToGrid w:val="0"/>
          <w:color w:val="04AC5C"/>
          <w:kern w:val="0"/>
          <w:sz w:val="28"/>
          <w:szCs w:val="28"/>
          <w:u w:val="single" w:color="auto"/>
          <w:lang w:val="en-US" w:eastAsia="zh-CN" w:bidi="ar"/>
        </w:rPr>
        <w:t>信息部                                           2026年10月</w:t>
      </w:r>
    </w:p>
    <w:p w14:paraId="6201E98D">
      <w:pPr>
        <w:spacing w:before="260" w:after="260" w:line="413" w:lineRule="auto"/>
        <w:jc w:val="left"/>
        <w:rPr>
          <w:rFonts w:hint="default" w:eastAsia="黑体"/>
          <w:lang w:val="en-US" w:eastAsia="zh-CN"/>
        </w:rPr>
      </w:pPr>
      <w:r>
        <w:rPr>
          <w:rFonts w:ascii="Arial" w:hAnsi="Arial" w:eastAsia="黑体"/>
          <w:b/>
          <w:sz w:val="32"/>
        </w:rPr>
        <w:t>每周资讯|中共中央、国务院部署19项举措发展新质生产力</w:t>
      </w:r>
      <w:r>
        <w:rPr>
          <w:rFonts w:hint="eastAsia" w:ascii="Arial" w:hAnsi="Arial" w:eastAsia="黑体"/>
          <w:b/>
          <w:sz w:val="32"/>
          <w:lang w:eastAsia="zh-CN"/>
        </w:rPr>
        <w:t>；</w:t>
      </w:r>
      <w:r>
        <w:rPr>
          <w:rFonts w:ascii="Arial" w:hAnsi="Arial" w:eastAsia="黑体"/>
          <w:b/>
          <w:sz w:val="32"/>
        </w:rPr>
        <w:t>全球PC三季度出货量下降21.2%</w:t>
      </w:r>
      <w:r>
        <w:rPr>
          <w:rFonts w:hint="eastAsia" w:ascii="Arial" w:hAnsi="Arial" w:eastAsia="黑体"/>
          <w:b/>
          <w:sz w:val="32"/>
          <w:lang w:eastAsia="zh-CN"/>
        </w:rPr>
        <w:t>；</w:t>
      </w:r>
      <w:r>
        <w:rPr>
          <w:rFonts w:hint="eastAsia" w:ascii="Arial" w:hAnsi="Arial" w:eastAsia="黑体"/>
          <w:b/>
          <w:sz w:val="32"/>
        </w:rPr>
        <w:t>东山精密通过港交所聆讯</w:t>
      </w:r>
    </w:p>
    <w:p w14:paraId="68D49C2D">
      <w:pPr>
        <w:spacing w:before="260" w:after="260" w:line="413" w:lineRule="auto"/>
        <w:ind w:firstLine="0"/>
        <w:jc w:val="left"/>
      </w:pPr>
      <w:r>
        <w:rPr>
          <w:rFonts w:hint="eastAsia" w:ascii="Arial" w:hAnsi="Arial" w:eastAsia="黑体"/>
          <w:b/>
          <w:sz w:val="32"/>
          <w:lang w:val="en-US" w:eastAsia="zh-CN"/>
        </w:rPr>
        <w:t>一、行业</w:t>
      </w:r>
    </w:p>
    <w:p w14:paraId="390C3771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中共中央、国务院部署19项举措发展新质生产力</w:t>
      </w:r>
    </w:p>
    <w:p w14:paraId="45A10AB3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10月9日，中共中央、国务院发布《关于发展新质生产力的意见》，围绕科技创新、产业创新、发展方式创新、体制机制创新和人才工作机制创新提出19项重点举措，明确加快关键核心技术突破，推进制造业重点产业链高质量发展，推动人工智能与实体经济深度融合，并加大长期资本对硬科技的支持。（国家数据局）</w:t>
      </w:r>
    </w:p>
    <w:p w14:paraId="5F0E5B6D">
      <w:pPr>
        <w:spacing w:line="360" w:lineRule="auto"/>
        <w:jc w:val="left"/>
      </w:pPr>
    </w:p>
    <w:p w14:paraId="1C7B042F">
      <w:pPr>
        <w:spacing w:line="360" w:lineRule="auto"/>
        <w:jc w:val="center"/>
      </w:pPr>
      <w:r>
        <w:rPr>
          <w:rFonts w:hint="eastAsia" w:ascii="Arial" w:hAnsi="Arial" w:eastAsia="黑体"/>
          <w:b/>
          <w:sz w:val="32"/>
        </w:rPr>
        <w:t>国家发改委国家信息中心发布多项先行指标显示，我国经济回升向好态势持续巩固</w:t>
      </w:r>
    </w:p>
    <w:p w14:paraId="54EBD68F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10月10日，</w:t>
      </w:r>
      <w:r>
        <w:rPr>
          <w:rFonts w:hint="eastAsia" w:ascii="Times New Roman" w:hAnsi="Times New Roman" w:eastAsia="仿宋"/>
          <w:sz w:val="32"/>
        </w:rPr>
        <w:t>国家发展改革委国家信息中心10日发布多项先行指标。数据显示，我国经济回升向好态势持续巩固。三季度，各类消费支付金额同比增长2.6%，增速较二季度提高0.7个百分点。9月份，算力、数据等新型基础设施项目中标金额同比增长50.4%，人工智能、人形机器人等前沿领域资本投资金额同比增幅超1倍。</w:t>
      </w:r>
      <w:r>
        <w:rPr>
          <w:rFonts w:ascii="Times New Roman" w:hAnsi="Times New Roman" w:eastAsia="仿宋"/>
          <w:sz w:val="32"/>
        </w:rPr>
        <w:t>（</w:t>
      </w:r>
      <w:r>
        <w:rPr>
          <w:rFonts w:hint="eastAsia" w:ascii="Times New Roman" w:hAnsi="Times New Roman" w:eastAsia="仿宋"/>
          <w:sz w:val="32"/>
        </w:rPr>
        <w:t>国家发改委</w:t>
      </w:r>
      <w:r>
        <w:rPr>
          <w:rFonts w:ascii="Times New Roman" w:hAnsi="Times New Roman" w:eastAsia="仿宋"/>
          <w:sz w:val="32"/>
        </w:rPr>
        <w:t>）</w:t>
      </w:r>
    </w:p>
    <w:p w14:paraId="5F246280">
      <w:pPr>
        <w:spacing w:line="360" w:lineRule="auto"/>
        <w:jc w:val="left"/>
      </w:pPr>
    </w:p>
    <w:p w14:paraId="76E351F6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央行开展1.2万亿元买断式逆回购操作</w:t>
      </w:r>
    </w:p>
    <w:p w14:paraId="5FAF8DD7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10月8日，中国人民银行开展1.2万亿元3个月期买断式逆回购操作，并开展6060亿元7天期逆回购操作。当日公开市场全口径净回笼4085亿元。大额中期流动性投放有助于满足金融机构跨季后的资金需求，保持银行体系流动性合理充裕。（新华财经）</w:t>
      </w:r>
    </w:p>
    <w:p w14:paraId="3393292E">
      <w:pPr>
        <w:spacing w:line="360" w:lineRule="auto"/>
        <w:jc w:val="left"/>
      </w:pPr>
    </w:p>
    <w:p w14:paraId="5AA5AAA6">
      <w:pPr>
        <w:spacing w:line="360" w:lineRule="auto"/>
        <w:jc w:val="left"/>
      </w:pPr>
    </w:p>
    <w:p w14:paraId="70750854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联合国贸发会议预计2026年全球经济增长2.6%</w:t>
      </w:r>
    </w:p>
    <w:p w14:paraId="64E63AF9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10月9日，联合国贸易和发展会议发布《2026年贸易和发展报告》，预计2026年全球经济增长2.6%，低于上年的2.9%；全球贸易量按不变价格计算预计增长约4%。报告指出，人工智能相关贸易收益高度集中，各经济体需要通过产业政策和数字基础设施投资扩大技术红利。（联合国贸易和发展会议）</w:t>
      </w:r>
      <w:bookmarkStart w:id="0" w:name="_GoBack"/>
      <w:bookmarkEnd w:id="0"/>
    </w:p>
    <w:p w14:paraId="274C2756">
      <w:pPr>
        <w:spacing w:line="360" w:lineRule="auto"/>
        <w:jc w:val="left"/>
      </w:pPr>
    </w:p>
    <w:p w14:paraId="3117C489">
      <w:pPr>
        <w:spacing w:line="360" w:lineRule="auto"/>
        <w:jc w:val="left"/>
      </w:pPr>
    </w:p>
    <w:p w14:paraId="4A30D542">
      <w:pPr>
        <w:spacing w:before="260" w:after="260" w:line="413" w:lineRule="auto"/>
        <w:ind w:firstLine="0"/>
        <w:jc w:val="left"/>
      </w:pPr>
      <w:r>
        <w:rPr>
          <w:rFonts w:hint="eastAsia" w:ascii="Arial" w:hAnsi="Arial" w:eastAsia="黑体"/>
          <w:b/>
          <w:sz w:val="32"/>
          <w:lang w:val="en-US" w:eastAsia="zh-CN"/>
        </w:rPr>
        <w:t>二、市场</w:t>
      </w:r>
    </w:p>
    <w:p w14:paraId="0CB0C87A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国庆假期手机等通信设备销售额同比增长119.8%</w:t>
      </w:r>
    </w:p>
    <w:p w14:paraId="5B7810C3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10月8日，国家税务总局发布增值税发票数据。国庆假期期间，手机、智能手环等通信设备销售额同比增长119.8%，家用电器和音像器材销售额增长40.1%。以旧换新政策和新品集中上市共同带动智能终端消费保持较高热度。（国家税务总局）</w:t>
      </w:r>
    </w:p>
    <w:p w14:paraId="4224D060">
      <w:pPr>
        <w:spacing w:line="360" w:lineRule="auto"/>
        <w:jc w:val="left"/>
      </w:pPr>
    </w:p>
    <w:p w14:paraId="3A926BB2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三季度全球PC出货量同比下降21.2%</w:t>
      </w:r>
    </w:p>
    <w:p w14:paraId="6B712AF1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10月9日，Omdia发布数据，2026年第三季度全球PC出货量为5810万台，同比下降21.2%。此前由换机周期和关税预期带来的需求提前释放逐步消退，同时存储器及其他零部件供应和成本压力上升，短期PC市场仍处于调整阶段。（Omdia）</w:t>
      </w:r>
    </w:p>
    <w:p w14:paraId="245D3C26">
      <w:pPr>
        <w:spacing w:line="360" w:lineRule="auto"/>
        <w:jc w:val="left"/>
      </w:pPr>
    </w:p>
    <w:p w14:paraId="5123883A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9月新能源乘用车批发166.6万辆</w:t>
      </w:r>
    </w:p>
    <w:p w14:paraId="5410DC7B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10月12日，乘联分会发布9月新能源乘用车市场数据。全国新能源乘用车批发166.6万辆，同比增长11.3%、环比增长10.0%；1至9月累计批发1144.8万辆，同比增长9.4%。9月新能源乘用车零售渗透率达到67%，继续刷新月度纪录。（</w:t>
      </w:r>
      <w:r>
        <w:rPr>
          <w:rFonts w:hint="eastAsia" w:ascii="Times New Roman" w:hAnsi="Times New Roman" w:eastAsia="仿宋"/>
          <w:sz w:val="32"/>
        </w:rPr>
        <w:t>乘联分会</w:t>
      </w:r>
      <w:r>
        <w:rPr>
          <w:rFonts w:ascii="Times New Roman" w:hAnsi="Times New Roman" w:eastAsia="仿宋"/>
          <w:sz w:val="32"/>
        </w:rPr>
        <w:t>）</w:t>
      </w:r>
    </w:p>
    <w:p w14:paraId="2BD96FC9">
      <w:pPr>
        <w:spacing w:before="260" w:after="260" w:line="413" w:lineRule="auto"/>
        <w:ind w:firstLine="0"/>
        <w:jc w:val="left"/>
      </w:pPr>
      <w:r>
        <w:rPr>
          <w:rFonts w:hint="eastAsia" w:ascii="Arial" w:hAnsi="Arial" w:eastAsia="黑体"/>
          <w:b/>
          <w:sz w:val="32"/>
          <w:lang w:val="en-US" w:eastAsia="zh-CN"/>
        </w:rPr>
        <w:t>三、企业</w:t>
      </w:r>
    </w:p>
    <w:p w14:paraId="4848F763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鹏鼎控股拟募资96亿元扩充算力HDI产能</w:t>
      </w:r>
    </w:p>
    <w:p w14:paraId="0A82C8E6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10月8日，鹏鼎控股披露向特定对象发行股票申请文件的审核问询函回复。公司拟募资不超过96亿元，其中庆鼎AI服务器及高速光模块高密度互连积层板项目总投资127.3亿元，规划新增高端HDI年产能65.56万平方米，产品面向800G至3.2T光模块和20至34层AI服务器板。（鹏鼎控股公告）</w:t>
      </w:r>
    </w:p>
    <w:p w14:paraId="09481544">
      <w:pPr>
        <w:spacing w:line="360" w:lineRule="auto"/>
        <w:jc w:val="left"/>
      </w:pPr>
    </w:p>
    <w:p w14:paraId="7FEB5DB3">
      <w:pPr>
        <w:spacing w:line="360" w:lineRule="auto"/>
        <w:jc w:val="left"/>
      </w:pPr>
    </w:p>
    <w:p w14:paraId="259F2502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景旺电子预计前三季度净利润大幅增长</w:t>
      </w:r>
    </w:p>
    <w:p w14:paraId="4B4C2E1B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10月9日，景旺电子发布业绩预告，预计2026年前三季度实现归属于上市公司股东的净利润23.92亿元至25.69亿元，同比增长105.01%至120.18%；其中第三季度预计实现净利润9.12亿元至10.89亿元。高性能PCB在高速通信、AI基础设施和光模块等领域放量，是业绩增长的重要动力。（</w:t>
      </w:r>
      <w:r>
        <w:rPr>
          <w:rFonts w:hint="eastAsia" w:ascii="Times New Roman" w:hAnsi="Times New Roman" w:eastAsia="仿宋"/>
          <w:sz w:val="32"/>
          <w:lang w:val="en-US" w:eastAsia="zh-CN"/>
        </w:rPr>
        <w:t>证券时报</w:t>
      </w:r>
      <w:r>
        <w:rPr>
          <w:rFonts w:ascii="Times New Roman" w:hAnsi="Times New Roman" w:eastAsia="仿宋"/>
          <w:sz w:val="32"/>
        </w:rPr>
        <w:t>）</w:t>
      </w:r>
    </w:p>
    <w:p w14:paraId="4A9F740C">
      <w:pPr>
        <w:spacing w:line="360" w:lineRule="auto"/>
        <w:jc w:val="left"/>
      </w:pPr>
    </w:p>
    <w:p w14:paraId="594A2960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广合科技泰国工厂完成爬坡并实现盈利</w:t>
      </w:r>
    </w:p>
    <w:p w14:paraId="65AC956F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10月9日，广合科技发布业绩预告，预计2026年前三季度实现归属于上市公司股东的净利润14.5亿元至15亿元，同比增长100.33%至107.23%。报告期内，泰国工厂通过核心客户审核，产能逐步爬坡并实现盈利，海外交付能力进一步提升。（</w:t>
      </w:r>
      <w:r>
        <w:rPr>
          <w:rFonts w:hint="eastAsia" w:ascii="Times New Roman" w:hAnsi="Times New Roman" w:eastAsia="仿宋"/>
          <w:sz w:val="32"/>
          <w:lang w:val="en-US" w:eastAsia="zh-CN"/>
        </w:rPr>
        <w:t>WIND</w:t>
      </w:r>
      <w:r>
        <w:rPr>
          <w:rFonts w:ascii="Times New Roman" w:hAnsi="Times New Roman" w:eastAsia="仿宋"/>
          <w:sz w:val="32"/>
        </w:rPr>
        <w:t>）</w:t>
      </w:r>
    </w:p>
    <w:p w14:paraId="242F97C6">
      <w:pPr>
        <w:spacing w:line="360" w:lineRule="auto"/>
        <w:jc w:val="left"/>
      </w:pPr>
    </w:p>
    <w:p w14:paraId="5BB07054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本川智能高端PCB项目产能加快释放</w:t>
      </w:r>
    </w:p>
    <w:p w14:paraId="7BBF0F46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10月8日，本川智能发布业绩预告，预计2026年前三季度实现归属于上市公司股东的净利润9600万元至1.44亿元，同比增长190.24%至335.36%。南京溧水项目产能爬坡，珠海硕鸿一期进入生产阶段，高多层板、高端HDI及埋嵌元件等产品占比提升。（</w:t>
      </w:r>
      <w:r>
        <w:rPr>
          <w:rFonts w:hint="eastAsia" w:ascii="Times New Roman" w:hAnsi="Times New Roman" w:eastAsia="仿宋"/>
          <w:sz w:val="32"/>
          <w:lang w:val="en-US" w:eastAsia="zh-CN"/>
        </w:rPr>
        <w:t>万得通讯社</w:t>
      </w:r>
      <w:r>
        <w:rPr>
          <w:rFonts w:ascii="Times New Roman" w:hAnsi="Times New Roman" w:eastAsia="仿宋"/>
          <w:sz w:val="32"/>
        </w:rPr>
        <w:t>）</w:t>
      </w:r>
    </w:p>
    <w:p w14:paraId="086B7F39">
      <w:pPr>
        <w:spacing w:line="360" w:lineRule="auto"/>
        <w:jc w:val="left"/>
      </w:pPr>
    </w:p>
    <w:p w14:paraId="0DB3592E">
      <w:pPr>
        <w:spacing w:line="360" w:lineRule="auto"/>
        <w:jc w:val="center"/>
      </w:pPr>
      <w:r>
        <w:rPr>
          <w:rFonts w:ascii="Arial" w:hAnsi="Arial" w:eastAsia="黑体"/>
          <w:b/>
          <w:sz w:val="32"/>
        </w:rPr>
        <w:t>嘉立创全面升级无铅OSP生产药水</w:t>
      </w:r>
    </w:p>
    <w:p w14:paraId="55BE8092">
      <w:pPr>
        <w:spacing w:line="360" w:lineRule="auto"/>
        <w:ind w:firstLine="576"/>
        <w:jc w:val="left"/>
      </w:pPr>
      <w:r>
        <w:rPr>
          <w:rFonts w:ascii="Times New Roman" w:hAnsi="Times New Roman" w:eastAsia="仿宋"/>
          <w:sz w:val="32"/>
        </w:rPr>
        <w:t>10月10日，嘉立创披露，公司无铅OSP表面处理生产线已全面升级为进口药水。新方案连续服务超过4个月，覆盖数十万笔OSP订单、累计加工面积超过10万平方米，未出现批量性焊接异常投诉，有助于提升细间距器件和复杂焊接场景下的可靠性。（</w:t>
      </w:r>
      <w:r>
        <w:rPr>
          <w:rFonts w:hint="eastAsia" w:ascii="Times New Roman" w:hAnsi="Times New Roman" w:eastAsia="仿宋"/>
          <w:sz w:val="32"/>
          <w:lang w:val="en-US" w:eastAsia="zh-CN"/>
        </w:rPr>
        <w:t>财联社</w:t>
      </w:r>
      <w:r>
        <w:rPr>
          <w:rFonts w:ascii="Times New Roman" w:hAnsi="Times New Roman" w:eastAsia="仿宋"/>
          <w:sz w:val="32"/>
        </w:rPr>
        <w:t>）</w:t>
      </w:r>
    </w:p>
    <w:p w14:paraId="5C35CFC6">
      <w:pPr>
        <w:spacing w:line="360" w:lineRule="auto"/>
        <w:jc w:val="left"/>
      </w:pPr>
    </w:p>
    <w:p w14:paraId="121F3349">
      <w:pPr>
        <w:spacing w:line="360" w:lineRule="auto"/>
        <w:jc w:val="center"/>
      </w:pPr>
      <w:r>
        <w:rPr>
          <w:rFonts w:hint="eastAsia" w:ascii="Arial" w:hAnsi="Arial" w:eastAsia="黑体"/>
          <w:b/>
          <w:sz w:val="32"/>
        </w:rPr>
        <w:t>四会富仕发行股票获批，拟募资不超9.3亿元加码高多层与HDI产能</w:t>
      </w:r>
    </w:p>
    <w:p w14:paraId="549D0E40">
      <w:pPr>
        <w:spacing w:line="360" w:lineRule="auto"/>
        <w:ind w:firstLine="576"/>
        <w:jc w:val="left"/>
      </w:pPr>
      <w:r>
        <w:rPr>
          <w:rFonts w:hint="eastAsia" w:ascii="Times New Roman" w:hAnsi="Times New Roman" w:eastAsia="仿宋"/>
          <w:sz w:val="32"/>
        </w:rPr>
        <w:t>10月12日，四会富仕发布公告称，公司拟募集资金总额不超过9.3亿元，用于“年产558万平方米高可靠性电路板新建项目——年产60万平方米高多层、HDI电路板项目（一期）”。该募投项目建设地点位于四会市龙甫镇惠源三路1号，项目总投资10.92亿元，拟使用募集资金9.3亿元。项目建成达产后，将形成年产60万平方米高多层及HDI电路板产能，预计实现不含税年销售收入10.92亿元，年利润总额（税前）1.19亿元。</w:t>
      </w:r>
      <w:r>
        <w:rPr>
          <w:rFonts w:ascii="Times New Roman" w:hAnsi="Times New Roman" w:eastAsia="仿宋"/>
          <w:sz w:val="32"/>
        </w:rPr>
        <w:t>（</w:t>
      </w:r>
      <w:r>
        <w:rPr>
          <w:rFonts w:hint="eastAsia" w:ascii="Times New Roman" w:hAnsi="Times New Roman" w:eastAsia="仿宋"/>
          <w:sz w:val="32"/>
          <w:lang w:val="en-US" w:eastAsia="zh-CN"/>
        </w:rPr>
        <w:t>财联社</w:t>
      </w:r>
      <w:r>
        <w:rPr>
          <w:rFonts w:ascii="Times New Roman" w:hAnsi="Times New Roman" w:eastAsia="仿宋"/>
          <w:sz w:val="32"/>
        </w:rPr>
        <w:t>）</w:t>
      </w:r>
    </w:p>
    <w:p w14:paraId="58987281">
      <w:pPr>
        <w:spacing w:line="360" w:lineRule="auto"/>
        <w:jc w:val="left"/>
      </w:pPr>
    </w:p>
    <w:p w14:paraId="299C47C7">
      <w:pPr>
        <w:spacing w:line="360" w:lineRule="auto"/>
        <w:jc w:val="center"/>
      </w:pPr>
      <w:r>
        <w:rPr>
          <w:rFonts w:hint="eastAsia" w:ascii="Arial" w:hAnsi="Arial" w:eastAsia="黑体"/>
          <w:b/>
          <w:sz w:val="32"/>
        </w:rPr>
        <w:t>东山精密通过港交所聆讯</w:t>
      </w:r>
      <w:r>
        <w:rPr>
          <w:rFonts w:hint="eastAsia" w:ascii="Arial" w:hAnsi="Arial" w:eastAsia="黑体"/>
          <w:b/>
          <w:sz w:val="32"/>
          <w:lang w:eastAsia="zh-CN"/>
        </w:rPr>
        <w:t>，</w:t>
      </w:r>
      <w:r>
        <w:rPr>
          <w:rFonts w:hint="eastAsia" w:ascii="Arial" w:hAnsi="Arial" w:eastAsia="黑体"/>
          <w:b/>
          <w:sz w:val="32"/>
        </w:rPr>
        <w:t>计划募资用于设施建设、战略投资及偿债等</w:t>
      </w:r>
    </w:p>
    <w:p w14:paraId="495DC510">
      <w:pPr>
        <w:spacing w:line="360" w:lineRule="auto"/>
        <w:ind w:firstLine="576"/>
        <w:jc w:val="left"/>
      </w:pPr>
      <w:r>
        <w:rPr>
          <w:rFonts w:hint="eastAsia" w:ascii="Times New Roman" w:hAnsi="Times New Roman" w:eastAsia="仿宋"/>
          <w:sz w:val="32"/>
        </w:rPr>
        <w:t>10月11日，港交所披露，苏州东山精密制造股份有限公司已通过聆讯。根据计划，本次IPO募集资金净额预期将用于建设新设施及升级现有生产设施及产线；预期将用于潜在战略投资或收购，以巩固核心业务的技术领先地位及市场领先地位；预期将用于偿还部分现有债务；预期将用作营运资金及一般企业用途。</w:t>
      </w:r>
      <w:r>
        <w:rPr>
          <w:rFonts w:ascii="Times New Roman" w:hAnsi="Times New Roman" w:eastAsia="仿宋"/>
          <w:sz w:val="32"/>
        </w:rPr>
        <w:t>（经济日报）</w:t>
      </w:r>
    </w:p>
    <w:p w14:paraId="688EF367">
      <w:pPr>
        <w:spacing w:line="360" w:lineRule="auto"/>
        <w:jc w:val="left"/>
      </w:pPr>
    </w:p>
    <w:p w14:paraId="5BFEFDA5">
      <w:pPr>
        <w:spacing w:line="360" w:lineRule="auto"/>
        <w:jc w:val="right"/>
      </w:pPr>
      <w:r>
        <w:rPr>
          <w:rFonts w:ascii="Arial" w:hAnsi="Arial" w:eastAsia="黑体"/>
          <w:b/>
          <w:sz w:val="32"/>
        </w:rPr>
        <w:t>更多精彩内容请扫描下方二维码，关注CPCA服务号</w:t>
      </w:r>
    </w:p>
    <w:p w14:paraId="6A4A3C9A">
      <w:pPr>
        <w:spacing w:line="360" w:lineRule="auto"/>
        <w:jc w:val="right"/>
      </w:pPr>
      <w:r>
        <w:rPr>
          <w:rFonts w:ascii="Times New Roman" w:hAnsi="Times New Roman" w:eastAsia="仿宋"/>
          <w:sz w:val="32"/>
        </w:rPr>
        <w:t>撰稿人：张国旗</w:t>
      </w:r>
    </w:p>
    <w:p w14:paraId="5B639555">
      <w:pPr>
        <w:spacing w:line="360" w:lineRule="auto"/>
        <w:jc w:val="right"/>
      </w:pPr>
      <w:r>
        <w:rPr>
          <w:rFonts w:ascii="华文仿宋" w:hAnsi="华文仿宋" w:eastAsia="华文仿宋"/>
          <w:sz w:val="28"/>
        </w:rPr>
        <w:t>审核：张运</w:t>
      </w:r>
    </w:p>
    <w:p w14:paraId="044B3D61">
      <w:pPr>
        <w:widowControl w:val="0"/>
        <w:bidi w:val="0"/>
        <w:spacing w:line="240" w:lineRule="auto"/>
        <w:ind w:left="0" w:leftChars="0" w:firstLine="0" w:firstLineChars="0"/>
        <w:jc w:val="right"/>
        <w:rPr>
          <w:rFonts w:hint="default" w:ascii="Times New Roman" w:hAnsi="Times New Roman" w:eastAsia="仿宋" w:cs="Times New Roman"/>
          <w:sz w:val="32"/>
          <w:szCs w:val="24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24"/>
        </w:rPr>
        <w:drawing>
          <wp:inline distT="0" distB="0" distL="114300" distR="114300">
            <wp:extent cx="1187450" cy="1168400"/>
            <wp:effectExtent l="0" t="0" r="6350" b="0"/>
            <wp:docPr id="3" name="图片 10" descr="Image: 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 descr="Image: image2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ACD8E">
      <w:r>
        <w:rPr>
          <w:rFonts w:hint="default" w:ascii="Times New Roman" w:hAnsi="Times New Roman" w:eastAsia="仿宋" w:cs="Times New Roma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73675" cy="3503295"/>
            <wp:effectExtent l="0" t="0" r="9525" b="1905"/>
            <wp:docPr id="2" name="图片 2" descr="467b3544aa10c7b69a0d3f65ce8dd4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67b3544aa10c7b69a0d3f65ce8dd4d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0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56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F4FE4">
    <w:pPr>
      <w:pStyle w:val="4"/>
      <w:pBdr>
        <w:bottom w:val="none" w:color="auto" w:sz="0" w:space="0"/>
      </w:pBdr>
      <w:jc w:val="both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69215</wp:posOffset>
          </wp:positionV>
          <wp:extent cx="6782435" cy="513080"/>
          <wp:effectExtent l="0" t="0" r="0" b="1270"/>
          <wp:wrapTight wrapText="bothSides">
            <wp:wrapPolygon>
              <wp:start x="15713" y="0"/>
              <wp:lineTo x="0" y="0"/>
              <wp:lineTo x="0" y="18446"/>
              <wp:lineTo x="5703" y="20851"/>
              <wp:lineTo x="21477" y="20851"/>
              <wp:lineTo x="21477" y="17644"/>
              <wp:lineTo x="20203" y="13634"/>
              <wp:lineTo x="19232" y="12832"/>
              <wp:lineTo x="21355" y="8822"/>
              <wp:lineTo x="21477" y="4812"/>
              <wp:lineTo x="20809" y="0"/>
              <wp:lineTo x="15713" y="0"/>
            </wp:wrapPolygon>
          </wp:wrapTight>
          <wp:docPr id="1" name="图片 1" descr="C:\Users\Administrator\Desktop\未标题-1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Administrator\Desktop\未标题-1.w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82585" cy="513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87"/>
    <w:rsid w:val="00065C06"/>
    <w:rsid w:val="0035113B"/>
    <w:rsid w:val="003A66A4"/>
    <w:rsid w:val="004F2A87"/>
    <w:rsid w:val="006B3D1E"/>
    <w:rsid w:val="007065AE"/>
    <w:rsid w:val="0073199B"/>
    <w:rsid w:val="007456A0"/>
    <w:rsid w:val="008355BB"/>
    <w:rsid w:val="009014D3"/>
    <w:rsid w:val="00C372FC"/>
    <w:rsid w:val="00D65DCA"/>
    <w:rsid w:val="00E70812"/>
    <w:rsid w:val="00F70C01"/>
    <w:rsid w:val="00FF5190"/>
    <w:rsid w:val="045F663E"/>
    <w:rsid w:val="06B47FC9"/>
    <w:rsid w:val="071C1AB9"/>
    <w:rsid w:val="07221569"/>
    <w:rsid w:val="07DD40F6"/>
    <w:rsid w:val="083B7C49"/>
    <w:rsid w:val="0CB1267E"/>
    <w:rsid w:val="0E0A67C5"/>
    <w:rsid w:val="0E220FBD"/>
    <w:rsid w:val="0E73679E"/>
    <w:rsid w:val="0FA436B7"/>
    <w:rsid w:val="0FAD6545"/>
    <w:rsid w:val="0FC0235B"/>
    <w:rsid w:val="0FCC54B4"/>
    <w:rsid w:val="10CF4D8A"/>
    <w:rsid w:val="13A55F62"/>
    <w:rsid w:val="150F2940"/>
    <w:rsid w:val="164B0998"/>
    <w:rsid w:val="16E96798"/>
    <w:rsid w:val="18700773"/>
    <w:rsid w:val="1CDA2E0B"/>
    <w:rsid w:val="21A55BAC"/>
    <w:rsid w:val="21A60DC4"/>
    <w:rsid w:val="225C17EC"/>
    <w:rsid w:val="236405A0"/>
    <w:rsid w:val="25AF1BE4"/>
    <w:rsid w:val="25B55B0A"/>
    <w:rsid w:val="25EE16C9"/>
    <w:rsid w:val="264A2919"/>
    <w:rsid w:val="266175BF"/>
    <w:rsid w:val="27003495"/>
    <w:rsid w:val="28C049EA"/>
    <w:rsid w:val="28FD408E"/>
    <w:rsid w:val="29163431"/>
    <w:rsid w:val="29EF0897"/>
    <w:rsid w:val="2B767FBE"/>
    <w:rsid w:val="2BF15CE7"/>
    <w:rsid w:val="2D364384"/>
    <w:rsid w:val="2DC669A6"/>
    <w:rsid w:val="2E4775E3"/>
    <w:rsid w:val="2EDE3EE6"/>
    <w:rsid w:val="315179C6"/>
    <w:rsid w:val="33274995"/>
    <w:rsid w:val="33A475BE"/>
    <w:rsid w:val="33C137F8"/>
    <w:rsid w:val="369A381C"/>
    <w:rsid w:val="36ED7D2B"/>
    <w:rsid w:val="37CF5FD6"/>
    <w:rsid w:val="381216B5"/>
    <w:rsid w:val="38AD19AF"/>
    <w:rsid w:val="39431EEE"/>
    <w:rsid w:val="39F27144"/>
    <w:rsid w:val="3A522D3D"/>
    <w:rsid w:val="3A6D2312"/>
    <w:rsid w:val="3ACF3611"/>
    <w:rsid w:val="3B265F2E"/>
    <w:rsid w:val="3B366832"/>
    <w:rsid w:val="3B766568"/>
    <w:rsid w:val="3ED15FEF"/>
    <w:rsid w:val="3EDF266A"/>
    <w:rsid w:val="3F233925"/>
    <w:rsid w:val="3FDD3C4F"/>
    <w:rsid w:val="40297E1C"/>
    <w:rsid w:val="44BD69EB"/>
    <w:rsid w:val="456055DE"/>
    <w:rsid w:val="45F31C63"/>
    <w:rsid w:val="45FD6761"/>
    <w:rsid w:val="461343DB"/>
    <w:rsid w:val="496A4B8E"/>
    <w:rsid w:val="4ABF4154"/>
    <w:rsid w:val="4B4134FD"/>
    <w:rsid w:val="4B543446"/>
    <w:rsid w:val="4E4364C2"/>
    <w:rsid w:val="50EA418D"/>
    <w:rsid w:val="510C0237"/>
    <w:rsid w:val="521E7BC5"/>
    <w:rsid w:val="52762767"/>
    <w:rsid w:val="52793D86"/>
    <w:rsid w:val="536C7C6B"/>
    <w:rsid w:val="53A662DF"/>
    <w:rsid w:val="53AD3873"/>
    <w:rsid w:val="53CF538E"/>
    <w:rsid w:val="557B2A48"/>
    <w:rsid w:val="55DB0099"/>
    <w:rsid w:val="57F01B04"/>
    <w:rsid w:val="596C1A28"/>
    <w:rsid w:val="59E7637A"/>
    <w:rsid w:val="59EE1099"/>
    <w:rsid w:val="5CF95551"/>
    <w:rsid w:val="5D9615A2"/>
    <w:rsid w:val="61863437"/>
    <w:rsid w:val="61E21505"/>
    <w:rsid w:val="624D40D3"/>
    <w:rsid w:val="62E354DE"/>
    <w:rsid w:val="632528C9"/>
    <w:rsid w:val="642D34F2"/>
    <w:rsid w:val="64592EAE"/>
    <w:rsid w:val="65006355"/>
    <w:rsid w:val="65326415"/>
    <w:rsid w:val="65605C5F"/>
    <w:rsid w:val="65911740"/>
    <w:rsid w:val="65AE7F5D"/>
    <w:rsid w:val="65FB0E53"/>
    <w:rsid w:val="66452A5A"/>
    <w:rsid w:val="66C33328"/>
    <w:rsid w:val="678149E0"/>
    <w:rsid w:val="68BE0B64"/>
    <w:rsid w:val="68D47E6F"/>
    <w:rsid w:val="691A127E"/>
    <w:rsid w:val="692244D0"/>
    <w:rsid w:val="6968585F"/>
    <w:rsid w:val="6A19339F"/>
    <w:rsid w:val="6BCE176C"/>
    <w:rsid w:val="6D07449C"/>
    <w:rsid w:val="6D8365BD"/>
    <w:rsid w:val="6E2A4350"/>
    <w:rsid w:val="6E3E1339"/>
    <w:rsid w:val="6E6D657F"/>
    <w:rsid w:val="6EC32276"/>
    <w:rsid w:val="6F0F1346"/>
    <w:rsid w:val="6F57027E"/>
    <w:rsid w:val="6F7810F5"/>
    <w:rsid w:val="71313AC1"/>
    <w:rsid w:val="72DB7A02"/>
    <w:rsid w:val="72DE08AE"/>
    <w:rsid w:val="72EE6ECA"/>
    <w:rsid w:val="73A51C06"/>
    <w:rsid w:val="752B4467"/>
    <w:rsid w:val="772054B7"/>
    <w:rsid w:val="77B64349"/>
    <w:rsid w:val="78404F59"/>
    <w:rsid w:val="78D0113A"/>
    <w:rsid w:val="79120DC0"/>
    <w:rsid w:val="7B086666"/>
    <w:rsid w:val="7B870239"/>
    <w:rsid w:val="7C007CD6"/>
    <w:rsid w:val="7C6C3669"/>
    <w:rsid w:val="7CFB2380"/>
    <w:rsid w:val="7DC1685E"/>
    <w:rsid w:val="7E4839B7"/>
    <w:rsid w:val="7E9D64A0"/>
    <w:rsid w:val="7F726CC2"/>
    <w:rsid w:val="7FC7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1019</Words>
  <Characters>1128</Characters>
  <Lines>0</Lines>
  <Paragraphs>0</Paragraphs>
  <TotalTime>1353</TotalTime>
  <ScaleCrop>false</ScaleCrop>
  <LinksUpToDate>false</LinksUpToDate>
  <CharactersWithSpaces>1174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2021-09-23T01:41:00Z</dcterms:created>
  <dc:creator>A</dc:creator>
  <cp:keywords>CPCA, PCB, 每周资讯, 第149期, 宏观, 市场, 企业</cp:keywords>
  <cp:lastModifiedBy>朕已阅</cp:lastModifiedBy>
  <cp:lastPrinted>2021-09-23T03:57:00Z</cp:lastPrinted>
  <dcterms:modified xsi:type="dcterms:W3CDTF">2026-10-12T08:29:27Z</dcterms:modified>
  <dc:subject>2026年8月27日至9月2日PCB行业每周资讯</dc:subject>
  <dc:title>CPCA149期每周资讯热点报告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eyJoZGlkIjoiZWFlNjQ3NDIwZDEwN2RkZjI5ZmVhOGI2NjVlYTBkMTciLCJ1c2VySWQiOiIxMzgyMTM1ODU2In0=</vt:lpwstr>
  </property>
  <property fmtid="{D5CDD505-2E9C-101B-9397-08002B2CF9AE}" pid="3" name="KSOProductBuildVer">
    <vt:lpwstr>2052-12.1.0.28505</vt:lpwstr>
  </property>
  <property fmtid="{D5CDD505-2E9C-101B-9397-08002B2CF9AE}" pid="4" name="ICV">
    <vt:lpwstr>E0134CEE77EC41188BD520F0113DACC3_13</vt:lpwstr>
  </property>
</Properties>
</file>