
<file path=[Content_Types].xml><?xml version="1.0" encoding="utf-8"?>
<Types xmlns="http://schemas.openxmlformats.org/package/2006/content-types">
  <Default Extension="wmf" ContentType="image/x-wmf"/>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F6A1A">
      <w:pPr>
        <w:spacing w:line="360" w:lineRule="auto"/>
        <w:jc w:val="both"/>
      </w:pPr>
    </w:p>
    <w:p w14:paraId="287E5B25">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center"/>
        <w:textAlignment w:val="baseline"/>
        <w:rPr>
          <w:rFonts w:hint="default" w:ascii="Times New Roman" w:hAnsi="Times New Roman" w:eastAsia="仿宋" w:cs="Times New Roman"/>
          <w:color w:val="04AC5C"/>
          <w:sz w:val="32"/>
          <w:szCs w:val="24"/>
          <w:lang w:val="en-US"/>
        </w:rPr>
      </w:pPr>
      <w:r>
        <w:rPr>
          <w:rFonts w:hint="eastAsia" w:ascii="华文楷体" w:hAnsi="华文楷体" w:eastAsia="华文楷体" w:cs="华文楷体"/>
          <w:b/>
          <w:bCs/>
          <w:snapToGrid w:val="0"/>
          <w:color w:val="04AC5C"/>
          <w:kern w:val="0"/>
          <w:sz w:val="28"/>
          <w:szCs w:val="28"/>
          <w:lang w:val="en-US" w:eastAsia="zh-CN" w:bidi="ar"/>
        </w:rPr>
        <w:t>第151期</w:t>
      </w:r>
    </w:p>
    <w:p w14:paraId="62D56D6D">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auto"/>
        <w:jc w:val="both"/>
        <w:textAlignment w:val="baseline"/>
        <w:rPr>
          <w:rFonts w:hint="default" w:ascii="Arial" w:hAnsi="Times New Roman" w:eastAsia="仿宋" w:cs="Times New Roman"/>
          <w:color w:val="04AC5C"/>
          <w:sz w:val="21"/>
          <w:szCs w:val="24"/>
          <w:lang w:val="en-US"/>
        </w:rPr>
      </w:pPr>
      <w:r>
        <w:rPr>
          <w:rFonts w:ascii="华文楷体" w:hAnsi="华文楷体" w:eastAsia="华文楷体" w:cs="华文楷体"/>
          <w:b/>
          <w:bCs/>
          <w:snapToGrid w:val="0"/>
          <w:color w:val="04AC5C"/>
          <w:kern w:val="0"/>
          <w:sz w:val="28"/>
          <w:szCs w:val="28"/>
          <w:u w:val="single" w:color="auto"/>
          <w:lang w:val="en-US" w:eastAsia="zh-CN" w:bidi="ar"/>
        </w:rPr>
        <w:t>信息部                                            2026年9月</w:t>
      </w:r>
    </w:p>
    <w:p w14:paraId="6201E98D">
      <w:pPr>
        <w:spacing w:before="260" w:after="260" w:line="413" w:lineRule="auto"/>
        <w:jc w:val="left"/>
        <w:rPr>
          <w:rFonts w:hint="default" w:eastAsia="黑体"/>
          <w:lang w:val="en-US" w:eastAsia="zh-CN"/>
        </w:rPr>
      </w:pPr>
      <w:r>
        <w:rPr>
          <w:rFonts w:ascii="Arial" w:hAnsi="Arial" w:eastAsia="黑体"/>
          <w:b/>
          <w:sz w:val="32"/>
        </w:rPr>
        <w:t>每周资讯|</w:t>
      </w:r>
      <w:r>
        <w:rPr>
          <w:rFonts w:hint="eastAsia" w:ascii="Arial" w:hAnsi="Arial" w:eastAsia="黑体"/>
          <w:b/>
          <w:sz w:val="32"/>
        </w:rPr>
        <w:t>前8个月高技术产业实际使用外资增长35.1%</w:t>
      </w:r>
      <w:r>
        <w:rPr>
          <w:rFonts w:ascii="Arial" w:hAnsi="Arial" w:eastAsia="黑体"/>
          <w:b/>
          <w:sz w:val="32"/>
        </w:rPr>
        <w:t>；前8个月重点平台智能眼镜销售额增长1.2倍；生益电子25.29亿元定增</w:t>
      </w:r>
      <w:r>
        <w:rPr>
          <w:rFonts w:hint="eastAsia" w:ascii="Arial" w:hAnsi="Arial" w:eastAsia="黑体"/>
          <w:b/>
          <w:sz w:val="32"/>
          <w:lang w:val="en-US" w:eastAsia="zh-CN"/>
        </w:rPr>
        <w:t>用于生产项目</w:t>
      </w:r>
    </w:p>
    <w:p w14:paraId="68D49C2D">
      <w:pPr>
        <w:spacing w:before="260" w:after="260" w:line="413" w:lineRule="auto"/>
        <w:ind w:firstLine="0"/>
        <w:jc w:val="left"/>
      </w:pPr>
      <w:r>
        <w:rPr>
          <w:rFonts w:hint="eastAsia" w:ascii="Arial" w:hAnsi="Arial" w:eastAsia="黑体"/>
          <w:b/>
          <w:sz w:val="32"/>
          <w:lang w:val="en-US" w:eastAsia="zh-CN"/>
        </w:rPr>
        <w:t>一、行业</w:t>
      </w:r>
    </w:p>
    <w:p w14:paraId="390C3771">
      <w:pPr>
        <w:spacing w:line="360" w:lineRule="auto"/>
        <w:jc w:val="center"/>
      </w:pPr>
      <w:r>
        <w:rPr>
          <w:rFonts w:ascii="Arial" w:hAnsi="Arial" w:eastAsia="黑体"/>
          <w:b/>
          <w:sz w:val="32"/>
        </w:rPr>
        <w:t>习近平就发展先进制造业作出重要指示</w:t>
      </w:r>
    </w:p>
    <w:p w14:paraId="45A10AB3">
      <w:pPr>
        <w:spacing w:line="360" w:lineRule="auto"/>
        <w:ind w:firstLine="576"/>
        <w:jc w:val="left"/>
      </w:pPr>
      <w:r>
        <w:rPr>
          <w:rFonts w:ascii="Times New Roman" w:hAnsi="Times New Roman" w:eastAsia="仿宋"/>
          <w:sz w:val="32"/>
        </w:rPr>
        <w:t>9月17日，习近平总书记就发展先进制造业作出重要指示，强调推动制造业高端化、智能化、绿色化发展，促进科技创新与产业创新深度融合，提升产业链供应链韧性和安全水平。电子信息制造业将进一步向数字化、网络化、智能化方向转型。（新华社）</w:t>
      </w:r>
    </w:p>
    <w:p w14:paraId="5F0E5B6D">
      <w:pPr>
        <w:spacing w:line="360" w:lineRule="auto"/>
        <w:jc w:val="left"/>
      </w:pPr>
    </w:p>
    <w:p w14:paraId="69AD47F4">
      <w:pPr>
        <w:spacing w:line="360" w:lineRule="auto"/>
      </w:pPr>
    </w:p>
    <w:p w14:paraId="6DBA7856">
      <w:pPr>
        <w:spacing w:line="360" w:lineRule="auto"/>
        <w:jc w:val="center"/>
      </w:pPr>
      <w:r>
        <w:rPr>
          <w:rFonts w:hint="eastAsia" w:ascii="Arial" w:hAnsi="Arial" w:eastAsia="黑体"/>
          <w:b/>
          <w:sz w:val="32"/>
        </w:rPr>
        <w:t>前8个月高技术产业实际使用外资增长35.1%</w:t>
      </w:r>
    </w:p>
    <w:p w14:paraId="3CF9EE47">
      <w:pPr>
        <w:spacing w:line="360" w:lineRule="auto"/>
        <w:ind w:firstLine="576"/>
        <w:jc w:val="left"/>
        <w:rPr>
          <w:rFonts w:hint="eastAsia" w:ascii="Times New Roman" w:hAnsi="Times New Roman" w:eastAsia="仿宋"/>
          <w:sz w:val="32"/>
        </w:rPr>
      </w:pPr>
      <w:r>
        <w:rPr>
          <w:rFonts w:hint="eastAsia" w:ascii="Times New Roman" w:hAnsi="Times New Roman" w:eastAsia="仿宋"/>
          <w:sz w:val="32"/>
        </w:rPr>
        <w:t>9月18日，商务部发布数据，前8个月全国新设外商投资企业42582家，同比增长0.3%；实际使用外资4799.5亿元。高技术产业实际使用外资2002.6亿元，同比增长35.1%，其中电子及通信设备制造业增长41.9%。（商务部）</w:t>
      </w:r>
    </w:p>
    <w:p w14:paraId="448D7D53">
      <w:pPr>
        <w:spacing w:line="360" w:lineRule="auto"/>
      </w:pPr>
    </w:p>
    <w:p w14:paraId="90000001">
      <w:pPr>
        <w:spacing w:line="360" w:lineRule="auto"/>
        <w:jc w:val="center"/>
      </w:pPr>
      <w:r>
        <w:rPr>
          <w:rFonts w:ascii="Arial" w:hAnsi="Arial" w:eastAsia="黑体"/>
          <w:b/>
          <w:sz w:val="32"/>
        </w:rPr>
        <w:t>中美经贸磋商在纽约举行并就人工智能议题开展对话</w:t>
      </w:r>
    </w:p>
    <w:p w14:paraId="90000002">
      <w:pPr>
        <w:spacing w:line="360" w:lineRule="auto"/>
        <w:ind w:firstLine="576"/>
        <w:jc w:val="left"/>
      </w:pPr>
      <w:r>
        <w:rPr>
          <w:rFonts w:ascii="Times New Roman" w:hAnsi="Times New Roman" w:eastAsia="仿宋"/>
          <w:sz w:val="32"/>
        </w:rPr>
        <w:t>9月20日，中美双方经贸团队在纽约举行磋商，就落实两国元首通话重要共识、经贸与投资合作等交换意见，并围绕人工智能等议题开展对话。双方同意继续保持沟通，为企业稳定预期和跨境产业合作创造条件。（商务部）</w:t>
      </w:r>
    </w:p>
    <w:p w14:paraId="90000003">
      <w:pPr>
        <w:spacing w:line="360" w:lineRule="auto"/>
      </w:pPr>
    </w:p>
    <w:p w14:paraId="90000006">
      <w:pPr>
        <w:spacing w:line="360" w:lineRule="auto"/>
      </w:pPr>
    </w:p>
    <w:p w14:paraId="4A30D542">
      <w:pPr>
        <w:spacing w:before="260" w:after="260" w:line="413" w:lineRule="auto"/>
        <w:ind w:firstLine="0"/>
        <w:jc w:val="left"/>
      </w:pPr>
      <w:r>
        <w:rPr>
          <w:rFonts w:hint="eastAsia" w:ascii="Arial" w:hAnsi="Arial" w:eastAsia="黑体"/>
          <w:b/>
          <w:sz w:val="32"/>
          <w:lang w:val="en-US" w:eastAsia="zh-CN"/>
        </w:rPr>
        <w:t>二、市场</w:t>
      </w:r>
    </w:p>
    <w:p w14:paraId="0CB0C87A">
      <w:pPr>
        <w:spacing w:line="360" w:lineRule="auto"/>
        <w:jc w:val="center"/>
      </w:pPr>
      <w:r>
        <w:rPr>
          <w:rFonts w:ascii="Arial" w:hAnsi="Arial" w:eastAsia="黑体"/>
          <w:b/>
          <w:sz w:val="32"/>
        </w:rPr>
        <w:t>HBM4供应偏紧，TrendForce上调2027年HBM价格展望</w:t>
      </w:r>
    </w:p>
    <w:p w14:paraId="5B7810C3">
      <w:pPr>
        <w:spacing w:line="360" w:lineRule="auto"/>
        <w:ind w:firstLine="576"/>
        <w:jc w:val="left"/>
      </w:pPr>
      <w:r>
        <w:rPr>
          <w:rFonts w:ascii="Times New Roman" w:hAnsi="Times New Roman" w:eastAsia="仿宋"/>
          <w:sz w:val="32"/>
        </w:rPr>
        <w:t>9月22日，TrendForce指出，受AI需求持续增长、HBM4供应偏紧以及产品结构升级影响，2027年HBM市场价格展望上调，8层堆叠产品仍将占据主要出货比重。高带宽存储升级将继续拉动先进封装和高阶载板需求。（TrendForce）</w:t>
      </w:r>
    </w:p>
    <w:p w14:paraId="19AE7C5F">
      <w:pPr>
        <w:spacing w:line="360" w:lineRule="auto"/>
      </w:pPr>
    </w:p>
    <w:p w14:paraId="66596D5C">
      <w:pPr>
        <w:spacing w:line="360" w:lineRule="auto"/>
      </w:pPr>
    </w:p>
    <w:p w14:paraId="01982EF3">
      <w:pPr>
        <w:spacing w:line="360" w:lineRule="auto"/>
        <w:jc w:val="center"/>
      </w:pPr>
      <w:r>
        <w:rPr>
          <w:rFonts w:hint="eastAsia" w:ascii="Arial" w:hAnsi="Arial" w:eastAsia="黑体"/>
          <w:b/>
          <w:sz w:val="32"/>
        </w:rPr>
        <w:t>前8个月重点平台智能眼镜销售额增长1.2倍</w:t>
      </w:r>
    </w:p>
    <w:p w14:paraId="03F5C087">
      <w:pPr>
        <w:spacing w:line="360" w:lineRule="auto"/>
        <w:ind w:firstLine="576"/>
        <w:jc w:val="left"/>
        <w:rPr>
          <w:rFonts w:hint="eastAsia" w:eastAsia="仿宋"/>
          <w:lang w:eastAsia="zh-CN"/>
        </w:rPr>
      </w:pPr>
      <w:r>
        <w:rPr>
          <w:rFonts w:hint="eastAsia" w:ascii="Times New Roman" w:hAnsi="Times New Roman" w:eastAsia="仿宋"/>
          <w:sz w:val="32"/>
          <w:lang w:val="en-US" w:eastAsia="zh-CN"/>
        </w:rPr>
        <w:t>9月21日，商务部数据显示，前8个月社会消费品零售总额和服务零售额均增长2.5%，重点平台通信器材销售额增长16.3%，其中智能眼镜销售额增长1.2倍。消费电子新形态保持较快增长，AI可穿戴终端加速渗透。（商务部）</w:t>
      </w:r>
    </w:p>
    <w:p w14:paraId="16820072">
      <w:pPr>
        <w:spacing w:line="360" w:lineRule="auto"/>
      </w:pPr>
    </w:p>
    <w:p w14:paraId="90000007">
      <w:pPr>
        <w:spacing w:line="360" w:lineRule="auto"/>
        <w:jc w:val="center"/>
      </w:pPr>
      <w:r>
        <w:rPr>
          <w:rFonts w:ascii="Arial" w:hAnsi="Arial" w:eastAsia="黑体"/>
          <w:b/>
          <w:sz w:val="32"/>
        </w:rPr>
        <w:t>前8个月手机网上零售额增长6.8%</w:t>
      </w:r>
    </w:p>
    <w:p w14:paraId="90000008">
      <w:pPr>
        <w:spacing w:line="360" w:lineRule="auto"/>
        <w:ind w:firstLine="576"/>
        <w:jc w:val="left"/>
      </w:pPr>
      <w:r>
        <w:rPr>
          <w:rFonts w:ascii="Times New Roman" w:hAnsi="Times New Roman" w:eastAsia="仿宋"/>
          <w:sz w:val="32"/>
        </w:rPr>
        <w:t>9月21日，商务部发布电子商务运行情况，前8个月网上商品和服务零售额同比增长4.6%，其中手机网上零售额增长6.8%，即时零售继续保持两位数增长。线上渠道对消费电子新品推广和需求释放的带动作用进一步增强。（商务部）</w:t>
      </w:r>
    </w:p>
    <w:p w14:paraId="90000009">
      <w:pPr>
        <w:spacing w:line="360" w:lineRule="auto"/>
      </w:pPr>
    </w:p>
    <w:p w14:paraId="9000000A">
      <w:pPr>
        <w:spacing w:line="360" w:lineRule="auto"/>
        <w:jc w:val="center"/>
      </w:pPr>
      <w:r>
        <w:rPr>
          <w:rFonts w:ascii="Arial" w:hAnsi="Arial" w:eastAsia="黑体"/>
          <w:b/>
          <w:sz w:val="32"/>
        </w:rPr>
        <w:t>上半年全球家用清洁机器人出货增长超25%</w:t>
      </w:r>
    </w:p>
    <w:p w14:paraId="9000000B">
      <w:pPr>
        <w:spacing w:line="360" w:lineRule="auto"/>
        <w:ind w:firstLine="576"/>
        <w:jc w:val="left"/>
      </w:pPr>
      <w:r>
        <w:rPr>
          <w:rFonts w:ascii="Times New Roman" w:hAnsi="Times New Roman" w:eastAsia="仿宋"/>
          <w:sz w:val="32"/>
        </w:rPr>
        <w:t>9月22日，IDC发布报告称，2026年上半年全球家用清洁机器人出货量同比增长超过25%，其中割草机器人增长76%。IDC预计，到2030年全球家用清洁机器人出货量将达到约5400万台，智能家居终端需求持续扩容。（IDC）</w:t>
      </w:r>
    </w:p>
    <w:p w14:paraId="9000000C">
      <w:pPr>
        <w:spacing w:line="360" w:lineRule="auto"/>
      </w:pPr>
    </w:p>
    <w:p w14:paraId="2BD96FC9">
      <w:pPr>
        <w:spacing w:before="260" w:after="260" w:line="413" w:lineRule="auto"/>
        <w:ind w:firstLine="0"/>
        <w:jc w:val="left"/>
      </w:pPr>
      <w:r>
        <w:rPr>
          <w:rFonts w:hint="eastAsia" w:ascii="Arial" w:hAnsi="Arial" w:eastAsia="黑体"/>
          <w:b/>
          <w:sz w:val="32"/>
          <w:lang w:val="en-US" w:eastAsia="zh-CN"/>
        </w:rPr>
        <w:t>三、企业</w:t>
      </w:r>
    </w:p>
    <w:p w14:paraId="4848F763">
      <w:pPr>
        <w:spacing w:line="360" w:lineRule="auto"/>
        <w:jc w:val="center"/>
      </w:pPr>
      <w:r>
        <w:rPr>
          <w:rFonts w:ascii="Arial" w:hAnsi="Arial" w:eastAsia="黑体"/>
          <w:b/>
          <w:sz w:val="32"/>
        </w:rPr>
        <w:t>崇达技术子公司推进端侧功能性IC封装载板项目</w:t>
      </w:r>
    </w:p>
    <w:p w14:paraId="0A82C8E6">
      <w:pPr>
        <w:spacing w:line="360" w:lineRule="auto"/>
        <w:ind w:firstLine="576"/>
        <w:jc w:val="left"/>
      </w:pPr>
      <w:r>
        <w:rPr>
          <w:rFonts w:ascii="Times New Roman" w:hAnsi="Times New Roman" w:eastAsia="仿宋"/>
          <w:sz w:val="32"/>
        </w:rPr>
        <w:t>9月17日，崇达技术公告称，控股子公司普诺威已竞得昆山市千灯镇两宗地块并签署国有建设用地使用权出让合同，其中工业用地约23.41亩，将用于推进端侧功能性IC封装载板项目建设，完善高端封装载板产能布局。（</w:t>
      </w:r>
      <w:r>
        <w:rPr>
          <w:rFonts w:hint="eastAsia" w:ascii="Times New Roman" w:hAnsi="Times New Roman" w:eastAsia="仿宋"/>
          <w:sz w:val="32"/>
          <w:lang w:val="en-US" w:eastAsia="zh-CN"/>
        </w:rPr>
        <w:t>WIND</w:t>
      </w:r>
      <w:r>
        <w:rPr>
          <w:rFonts w:ascii="Times New Roman" w:hAnsi="Times New Roman" w:eastAsia="仿宋"/>
          <w:sz w:val="32"/>
        </w:rPr>
        <w:t>）</w:t>
      </w:r>
    </w:p>
    <w:p w14:paraId="222F14EC">
      <w:pPr>
        <w:spacing w:line="360" w:lineRule="auto"/>
      </w:pPr>
    </w:p>
    <w:p w14:paraId="54DBED58">
      <w:pPr>
        <w:spacing w:line="360" w:lineRule="auto"/>
        <w:jc w:val="center"/>
      </w:pPr>
      <w:r>
        <w:rPr>
          <w:rFonts w:ascii="Arial" w:hAnsi="Arial" w:eastAsia="黑体"/>
          <w:b/>
          <w:sz w:val="32"/>
        </w:rPr>
        <w:t>一博科技珠海二期推进，mSAP产线启动设备采购</w:t>
      </w:r>
    </w:p>
    <w:p w14:paraId="3F5DB8FF">
      <w:pPr>
        <w:spacing w:line="360" w:lineRule="auto"/>
        <w:ind w:firstLine="576"/>
        <w:jc w:val="left"/>
      </w:pPr>
      <w:r>
        <w:rPr>
          <w:rFonts w:ascii="Times New Roman" w:hAnsi="Times New Roman" w:eastAsia="仿宋"/>
          <w:sz w:val="32"/>
        </w:rPr>
        <w:t>9月17日，一博科技在投资者活动中表示，珠海PCB板厂二期内部装修及设备采购按计划推进，一期、二期产能完全释放后预计可支持25亿至30亿元年产能；mSAP产线已完成设备选型，相关设备正在采购。（一博科技公告）</w:t>
      </w:r>
    </w:p>
    <w:p w14:paraId="5506A226">
      <w:pPr>
        <w:spacing w:line="360" w:lineRule="auto"/>
      </w:pPr>
    </w:p>
    <w:p w14:paraId="13A1F078">
      <w:pPr>
        <w:spacing w:line="360" w:lineRule="auto"/>
      </w:pPr>
    </w:p>
    <w:p w14:paraId="30D26102">
      <w:pPr>
        <w:spacing w:line="360" w:lineRule="auto"/>
        <w:jc w:val="center"/>
      </w:pPr>
      <w:r>
        <w:rPr>
          <w:rFonts w:ascii="Arial" w:hAnsi="Arial" w:eastAsia="黑体"/>
          <w:b/>
          <w:sz w:val="32"/>
        </w:rPr>
        <w:t>生益电子25.29亿元定增新增股份完成登记</w:t>
      </w:r>
    </w:p>
    <w:p w14:paraId="23003CC9">
      <w:pPr>
        <w:spacing w:line="360" w:lineRule="auto"/>
        <w:ind w:firstLine="576"/>
        <w:jc w:val="left"/>
      </w:pPr>
      <w:r>
        <w:rPr>
          <w:rFonts w:ascii="Times New Roman" w:hAnsi="Times New Roman" w:eastAsia="仿宋"/>
          <w:sz w:val="32"/>
        </w:rPr>
        <w:t>9月19日，生益电子披露向特定对象发行结果，新增2266.98万股已于9月17日完成登记，募集资金总额25.29亿元、净额25.20亿元，将用于人工智能计算HDI生产基地、智能制造高多层算力电路板等项目。（</w:t>
      </w:r>
      <w:r>
        <w:rPr>
          <w:rFonts w:hint="eastAsia" w:ascii="Times New Roman" w:hAnsi="Times New Roman" w:eastAsia="仿宋"/>
          <w:sz w:val="32"/>
          <w:lang w:val="en-US" w:eastAsia="zh-CN"/>
        </w:rPr>
        <w:t>证券时报</w:t>
      </w:r>
      <w:r>
        <w:rPr>
          <w:rFonts w:ascii="Times New Roman" w:hAnsi="Times New Roman" w:eastAsia="仿宋"/>
          <w:sz w:val="32"/>
        </w:rPr>
        <w:t>）</w:t>
      </w:r>
    </w:p>
    <w:p w14:paraId="3AEA53A4">
      <w:pPr>
        <w:spacing w:line="360" w:lineRule="auto"/>
        <w:jc w:val="left"/>
        <w:rPr>
          <w:rFonts w:hint="default" w:ascii="Times New Roman" w:hAnsi="Times New Roman" w:eastAsia="仿宋"/>
          <w:sz w:val="32"/>
          <w:lang w:val="en-US" w:eastAsia="zh-CN"/>
        </w:rPr>
      </w:pPr>
    </w:p>
    <w:p w14:paraId="5C9A0D00">
      <w:pPr>
        <w:spacing w:line="360" w:lineRule="auto"/>
        <w:jc w:val="center"/>
        <w:rPr>
          <w:rFonts w:hint="eastAsia"/>
        </w:rPr>
      </w:pPr>
      <w:r>
        <w:rPr>
          <w:rFonts w:hint="eastAsia" w:ascii="Arial" w:hAnsi="Arial" w:eastAsia="黑体"/>
          <w:b/>
          <w:sz w:val="32"/>
        </w:rPr>
        <w:t>板材供应商再次调价，嘉立创同步调整PCB报价</w:t>
      </w:r>
    </w:p>
    <w:p w14:paraId="02BB4A5F">
      <w:pPr>
        <w:spacing w:line="360" w:lineRule="auto"/>
        <w:ind w:firstLine="576"/>
        <w:jc w:val="left"/>
        <w:rPr>
          <w:rFonts w:hint="default" w:ascii="Times New Roman" w:hAnsi="Times New Roman" w:eastAsia="仿宋"/>
          <w:sz w:val="32"/>
          <w:lang w:val="en-US" w:eastAsia="zh-CN"/>
        </w:rPr>
      </w:pPr>
      <w:r>
        <w:rPr>
          <w:rFonts w:hint="eastAsia" w:ascii="Times New Roman" w:hAnsi="Times New Roman" w:eastAsia="仿宋"/>
          <w:sz w:val="32"/>
        </w:rPr>
        <w:t>9月21日，嘉立创发布通知称，受铜价及上游原材料成本变化影响，板材供应商再次调整价格，公司PCB报价已根据最新材料成本同步更新。上游覆铜板涨价继续向制造端传导，PCB企业成本管理和交付保障面临新要求。（嘉立创）</w:t>
      </w:r>
    </w:p>
    <w:p w14:paraId="46DBC002">
      <w:pPr>
        <w:spacing w:line="360" w:lineRule="auto"/>
        <w:jc w:val="left"/>
        <w:rPr>
          <w:rFonts w:hint="eastAsia" w:ascii="Times New Roman" w:hAnsi="Times New Roman" w:eastAsia="仿宋"/>
          <w:sz w:val="32"/>
        </w:rPr>
      </w:pPr>
    </w:p>
    <w:p w14:paraId="9000000D">
      <w:pPr>
        <w:spacing w:line="360" w:lineRule="auto"/>
        <w:jc w:val="center"/>
      </w:pPr>
      <w:r>
        <w:rPr>
          <w:rFonts w:ascii="Arial" w:hAnsi="Arial" w:eastAsia="黑体"/>
          <w:b/>
          <w:sz w:val="32"/>
        </w:rPr>
        <w:t>奥士康拟投18.2亿元建设肇庆高端PCB项目</w:t>
      </w:r>
    </w:p>
    <w:p w14:paraId="9000000E">
      <w:pPr>
        <w:spacing w:line="360" w:lineRule="auto"/>
        <w:ind w:firstLine="576"/>
        <w:jc w:val="left"/>
      </w:pPr>
      <w:r>
        <w:rPr>
          <w:rFonts w:ascii="Times New Roman" w:hAnsi="Times New Roman" w:eastAsia="仿宋"/>
          <w:sz w:val="32"/>
        </w:rPr>
        <w:t>9月22日，奥士康在可转债网上路演中表示，肇庆高端印制电路板项目总投资18.20亿元，拟使用募集资金10亿元，其余8.20亿元由自有或自筹资金解决。公司将结合项目进度和实际资金需求统筹投入。（</w:t>
      </w:r>
      <w:r>
        <w:rPr>
          <w:rFonts w:hint="eastAsia" w:ascii="Times New Roman" w:hAnsi="Times New Roman" w:eastAsia="仿宋"/>
          <w:sz w:val="32"/>
          <w:lang w:val="en-US" w:eastAsia="zh-CN"/>
        </w:rPr>
        <w:t>财联社</w:t>
      </w:r>
      <w:bookmarkStart w:id="0" w:name="_GoBack"/>
      <w:bookmarkEnd w:id="0"/>
      <w:r>
        <w:rPr>
          <w:rFonts w:ascii="Times New Roman" w:hAnsi="Times New Roman" w:eastAsia="仿宋"/>
          <w:sz w:val="32"/>
        </w:rPr>
        <w:t>）</w:t>
      </w:r>
    </w:p>
    <w:p w14:paraId="9000000F">
      <w:pPr>
        <w:spacing w:line="360" w:lineRule="auto"/>
      </w:pPr>
    </w:p>
    <w:p w14:paraId="90000010">
      <w:pPr>
        <w:spacing w:line="360" w:lineRule="auto"/>
        <w:jc w:val="center"/>
      </w:pPr>
      <w:r>
        <w:rPr>
          <w:rFonts w:ascii="Arial" w:hAnsi="Arial" w:eastAsia="黑体"/>
          <w:b/>
          <w:sz w:val="32"/>
        </w:rPr>
        <w:t>世运电路泰国工厂进入量产爬坡阶段</w:t>
      </w:r>
    </w:p>
    <w:p w14:paraId="90000011">
      <w:pPr>
        <w:spacing w:line="360" w:lineRule="auto"/>
        <w:ind w:firstLine="576"/>
        <w:jc w:val="left"/>
      </w:pPr>
      <w:r>
        <w:rPr>
          <w:rFonts w:ascii="Times New Roman" w:hAnsi="Times New Roman" w:eastAsia="仿宋"/>
          <w:sz w:val="32"/>
        </w:rPr>
        <w:t>9月22日，世运电路披露投资者交流信息，泰国工厂已进入量产爬坡阶段并通过部分核心客户认证，初期订单聚焦海外汽车电子PCB业务，同时推进储能、人工智能等领域的客户认证与订单导入。（世运电路公告）</w:t>
      </w:r>
    </w:p>
    <w:p w14:paraId="90000012">
      <w:pPr>
        <w:spacing w:line="360" w:lineRule="auto"/>
      </w:pPr>
    </w:p>
    <w:p w14:paraId="90000015">
      <w:pPr>
        <w:spacing w:line="360" w:lineRule="auto"/>
      </w:pPr>
    </w:p>
    <w:p w14:paraId="90000016">
      <w:pPr>
        <w:spacing w:line="360" w:lineRule="auto"/>
        <w:jc w:val="center"/>
      </w:pPr>
      <w:r>
        <w:rPr>
          <w:rFonts w:ascii="Arial" w:hAnsi="Arial" w:eastAsia="黑体"/>
          <w:b/>
          <w:sz w:val="32"/>
        </w:rPr>
        <w:t>佰维存储拟45亿元扩建晶圆级先进封测项目</w:t>
      </w:r>
    </w:p>
    <w:p w14:paraId="90000017">
      <w:pPr>
        <w:spacing w:line="360" w:lineRule="auto"/>
        <w:ind w:firstLine="576"/>
        <w:jc w:val="left"/>
      </w:pPr>
      <w:r>
        <w:rPr>
          <w:rFonts w:ascii="Times New Roman" w:hAnsi="Times New Roman" w:eastAsia="仿宋"/>
          <w:sz w:val="32"/>
        </w:rPr>
        <w:t>9月22日，佰维存储公告拟推进晶圆级先进封测制造项目三期，总投资约45亿元，其中固定资产投资40亿元。已完成的一、二期计划投资30.9亿元，对应月产能约3000片，目前处于送样、工艺验证和小批量试产阶段。（佰维存储公告）</w:t>
      </w:r>
    </w:p>
    <w:p w14:paraId="90000018">
      <w:pPr>
        <w:spacing w:line="360" w:lineRule="auto"/>
      </w:pPr>
    </w:p>
    <w:p w14:paraId="5BFEFDA5">
      <w:pPr>
        <w:spacing w:line="360" w:lineRule="auto"/>
        <w:jc w:val="right"/>
      </w:pPr>
      <w:r>
        <w:rPr>
          <w:rFonts w:ascii="Arial" w:hAnsi="Arial" w:eastAsia="黑体"/>
          <w:b/>
          <w:sz w:val="32"/>
        </w:rPr>
        <w:t>更多精彩内容请扫描下方二维码，关注CPCA服务号</w:t>
      </w:r>
    </w:p>
    <w:p w14:paraId="6A4A3C9A">
      <w:pPr>
        <w:spacing w:line="360" w:lineRule="auto"/>
        <w:jc w:val="right"/>
      </w:pPr>
      <w:r>
        <w:rPr>
          <w:rFonts w:ascii="Times New Roman" w:hAnsi="Times New Roman" w:eastAsia="仿宋"/>
          <w:sz w:val="32"/>
        </w:rPr>
        <w:t>撰稿人：张国旗</w:t>
      </w:r>
    </w:p>
    <w:p w14:paraId="5B639555">
      <w:pPr>
        <w:spacing w:line="360" w:lineRule="auto"/>
        <w:jc w:val="right"/>
      </w:pPr>
      <w:r>
        <w:rPr>
          <w:rFonts w:ascii="华文仿宋" w:hAnsi="华文仿宋" w:eastAsia="华文仿宋"/>
          <w:sz w:val="28"/>
        </w:rPr>
        <w:t>审核：张运</w:t>
      </w:r>
    </w:p>
    <w:p w14:paraId="044B3D61">
      <w:pPr>
        <w:widowControl w:val="0"/>
        <w:bidi w:val="0"/>
        <w:spacing w:line="240" w:lineRule="auto"/>
        <w:ind w:left="0" w:leftChars="0" w:firstLine="0" w:firstLineChars="0"/>
        <w:jc w:val="right"/>
        <w:rPr>
          <w:rFonts w:hint="default" w:ascii="Times New Roman" w:hAnsi="Times New Roman" w:eastAsia="仿宋" w:cs="Times New Roman"/>
          <w:sz w:val="32"/>
          <w:szCs w:val="24"/>
          <w:lang w:val="en-US" w:eastAsia="zh-CN"/>
        </w:rPr>
      </w:pPr>
      <w:r>
        <w:rPr>
          <w:rFonts w:ascii="Times New Roman" w:hAnsi="Times New Roman" w:eastAsia="仿宋" w:cs="Times New Roman"/>
          <w:sz w:val="32"/>
          <w:szCs w:val="24"/>
        </w:rPr>
        <w:drawing>
          <wp:inline distT="0" distB="0" distL="114300" distR="114300">
            <wp:extent cx="1187450" cy="1168400"/>
            <wp:effectExtent l="0" t="0" r="6350" b="0"/>
            <wp:docPr id="3" name="图片 10" descr="Image: 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descr="Image: image2.png"/>
                    <pic:cNvPicPr>
                      <a:picLocks noChangeAspect="1"/>
                    </pic:cNvPicPr>
                  </pic:nvPicPr>
                  <pic:blipFill>
                    <a:blip r:embed="rId5"/>
                    <a:stretch>
                      <a:fillRect/>
                    </a:stretch>
                  </pic:blipFill>
                  <pic:spPr>
                    <a:xfrm>
                      <a:off x="0" y="0"/>
                      <a:ext cx="1187450" cy="1168400"/>
                    </a:xfrm>
                    <a:prstGeom prst="rect">
                      <a:avLst/>
                    </a:prstGeom>
                    <a:noFill/>
                    <a:ln>
                      <a:noFill/>
                    </a:ln>
                  </pic:spPr>
                </pic:pic>
              </a:graphicData>
            </a:graphic>
          </wp:inline>
        </w:drawing>
      </w:r>
    </w:p>
    <w:p w14:paraId="077ACD8E">
      <w:r>
        <w:rPr>
          <w:rFonts w:hint="default" w:ascii="Times New Roman" w:hAnsi="Times New Roman" w:eastAsia="仿宋" w:cs="Times New Roman"/>
          <w:kern w:val="0"/>
          <w:sz w:val="24"/>
          <w:szCs w:val="24"/>
          <w:lang w:val="en-US" w:eastAsia="zh-CN" w:bidi="ar"/>
        </w:rPr>
        <w:drawing>
          <wp:inline distT="0" distB="0" distL="114300" distR="114300">
            <wp:extent cx="5273675" cy="3503295"/>
            <wp:effectExtent l="0" t="0" r="9525" b="1905"/>
            <wp:docPr id="2" name="图片 2" descr="467b3544aa10c7b69a0d3f65ce8dd4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467b3544aa10c7b69a0d3f65ce8dd4d2"/>
                    <pic:cNvPicPr>
                      <a:picLocks noChangeAspect="1"/>
                    </pic:cNvPicPr>
                  </pic:nvPicPr>
                  <pic:blipFill>
                    <a:blip r:embed="rId6"/>
                    <a:stretch>
                      <a:fillRect/>
                    </a:stretch>
                  </pic:blipFill>
                  <pic:spPr>
                    <a:xfrm>
                      <a:off x="0" y="0"/>
                      <a:ext cx="5273675" cy="3503295"/>
                    </a:xfrm>
                    <a:prstGeom prst="rect">
                      <a:avLst/>
                    </a:prstGeom>
                  </pic:spPr>
                </pic:pic>
              </a:graphicData>
            </a:graphic>
          </wp:inline>
        </w:drawing>
      </w:r>
    </w:p>
    <w:sectPr>
      <w:headerReference r:id="rId3" w:type="default"/>
      <w:pgSz w:w="11906" w:h="16838"/>
      <w:pgMar w:top="156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F4FE4">
    <w:pPr>
      <w:pStyle w:val="4"/>
      <w:pBdr>
        <w:bottom w:val="none" w:color="auto" w:sz="0" w:space="0"/>
      </w:pBdr>
      <w:jc w:val="both"/>
    </w:pPr>
    <w:r>
      <w:drawing>
        <wp:anchor distT="0" distB="0" distL="114300" distR="114300" simplePos="0" relativeHeight="251659264" behindDoc="1" locked="0" layoutInCell="1" allowOverlap="1">
          <wp:simplePos x="0" y="0"/>
          <wp:positionH relativeFrom="margin">
            <wp:align>center</wp:align>
          </wp:positionH>
          <wp:positionV relativeFrom="paragraph">
            <wp:posOffset>69215</wp:posOffset>
          </wp:positionV>
          <wp:extent cx="6782435" cy="513080"/>
          <wp:effectExtent l="0" t="0" r="0" b="1270"/>
          <wp:wrapTight wrapText="bothSides">
            <wp:wrapPolygon>
              <wp:start x="15713" y="0"/>
              <wp:lineTo x="0" y="0"/>
              <wp:lineTo x="0" y="18446"/>
              <wp:lineTo x="5703" y="20851"/>
              <wp:lineTo x="21477" y="20851"/>
              <wp:lineTo x="21477" y="17644"/>
              <wp:lineTo x="20203" y="13634"/>
              <wp:lineTo x="19232" y="12832"/>
              <wp:lineTo x="21355" y="8822"/>
              <wp:lineTo x="21477" y="4812"/>
              <wp:lineTo x="20809" y="0"/>
              <wp:lineTo x="15713" y="0"/>
            </wp:wrapPolygon>
          </wp:wrapTight>
          <wp:docPr id="1" name="图片 1" descr="C:\Users\Administrator\Desktop\未标题-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strator\Desktop\未标题-1.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a:xfrm>
                    <a:off x="0" y="0"/>
                    <a:ext cx="6782585" cy="51308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2A87"/>
    <w:rsid w:val="00065C06"/>
    <w:rsid w:val="0035113B"/>
    <w:rsid w:val="003A66A4"/>
    <w:rsid w:val="004F2A87"/>
    <w:rsid w:val="006B3D1E"/>
    <w:rsid w:val="007065AE"/>
    <w:rsid w:val="0073199B"/>
    <w:rsid w:val="007456A0"/>
    <w:rsid w:val="008355BB"/>
    <w:rsid w:val="009014D3"/>
    <w:rsid w:val="00C372FC"/>
    <w:rsid w:val="00D65DCA"/>
    <w:rsid w:val="00E70812"/>
    <w:rsid w:val="00F70C01"/>
    <w:rsid w:val="00FF5190"/>
    <w:rsid w:val="045F663E"/>
    <w:rsid w:val="06B47FC9"/>
    <w:rsid w:val="071C1AB9"/>
    <w:rsid w:val="07221569"/>
    <w:rsid w:val="07DD40F6"/>
    <w:rsid w:val="083B7C49"/>
    <w:rsid w:val="0CB1267E"/>
    <w:rsid w:val="0E0A67C5"/>
    <w:rsid w:val="0E220FBD"/>
    <w:rsid w:val="0E73679E"/>
    <w:rsid w:val="0FA436B7"/>
    <w:rsid w:val="0FAD6545"/>
    <w:rsid w:val="0FC0235B"/>
    <w:rsid w:val="0FCC54B4"/>
    <w:rsid w:val="10CF4D8A"/>
    <w:rsid w:val="13A55F62"/>
    <w:rsid w:val="150F2940"/>
    <w:rsid w:val="164B0998"/>
    <w:rsid w:val="16E96798"/>
    <w:rsid w:val="18700773"/>
    <w:rsid w:val="1CDA2E0B"/>
    <w:rsid w:val="21A55BAC"/>
    <w:rsid w:val="21A60DC4"/>
    <w:rsid w:val="225C17EC"/>
    <w:rsid w:val="236405A0"/>
    <w:rsid w:val="25AF1BE4"/>
    <w:rsid w:val="25B55B0A"/>
    <w:rsid w:val="25EE16C9"/>
    <w:rsid w:val="264A2919"/>
    <w:rsid w:val="266175BF"/>
    <w:rsid w:val="27003495"/>
    <w:rsid w:val="28C049EA"/>
    <w:rsid w:val="28FD408E"/>
    <w:rsid w:val="29163431"/>
    <w:rsid w:val="29EF0897"/>
    <w:rsid w:val="2B767FBE"/>
    <w:rsid w:val="2BF15CE7"/>
    <w:rsid w:val="2D364384"/>
    <w:rsid w:val="2DC669A6"/>
    <w:rsid w:val="2E4775E3"/>
    <w:rsid w:val="2EDE3EE6"/>
    <w:rsid w:val="315179C6"/>
    <w:rsid w:val="33274995"/>
    <w:rsid w:val="33A475BE"/>
    <w:rsid w:val="33C137F8"/>
    <w:rsid w:val="369A381C"/>
    <w:rsid w:val="36ED7D2B"/>
    <w:rsid w:val="37CF5FD6"/>
    <w:rsid w:val="381216B5"/>
    <w:rsid w:val="38AD19AF"/>
    <w:rsid w:val="39431EEE"/>
    <w:rsid w:val="39F27144"/>
    <w:rsid w:val="3A522D3D"/>
    <w:rsid w:val="3A6D2312"/>
    <w:rsid w:val="3ACF3611"/>
    <w:rsid w:val="3B265F2E"/>
    <w:rsid w:val="3B766568"/>
    <w:rsid w:val="3ED15FEF"/>
    <w:rsid w:val="3EDF266A"/>
    <w:rsid w:val="3F233925"/>
    <w:rsid w:val="3FDD3C4F"/>
    <w:rsid w:val="40297E1C"/>
    <w:rsid w:val="44BD69EB"/>
    <w:rsid w:val="456055DE"/>
    <w:rsid w:val="45F31C63"/>
    <w:rsid w:val="45FD6761"/>
    <w:rsid w:val="461343DB"/>
    <w:rsid w:val="496A4B8E"/>
    <w:rsid w:val="4ABF4154"/>
    <w:rsid w:val="4B4134FD"/>
    <w:rsid w:val="4B543446"/>
    <w:rsid w:val="4E4364C2"/>
    <w:rsid w:val="50EA418D"/>
    <w:rsid w:val="510C0237"/>
    <w:rsid w:val="521E7BC5"/>
    <w:rsid w:val="52762767"/>
    <w:rsid w:val="52793D86"/>
    <w:rsid w:val="536C7C6B"/>
    <w:rsid w:val="53A662DF"/>
    <w:rsid w:val="53AD3873"/>
    <w:rsid w:val="53CF538E"/>
    <w:rsid w:val="557B2A48"/>
    <w:rsid w:val="55DB0099"/>
    <w:rsid w:val="57F01B04"/>
    <w:rsid w:val="596C1A28"/>
    <w:rsid w:val="59E7637A"/>
    <w:rsid w:val="59EE1099"/>
    <w:rsid w:val="5CF95551"/>
    <w:rsid w:val="5D9615A2"/>
    <w:rsid w:val="61863437"/>
    <w:rsid w:val="61E21505"/>
    <w:rsid w:val="624D40D3"/>
    <w:rsid w:val="62E354DE"/>
    <w:rsid w:val="632528C9"/>
    <w:rsid w:val="642D34F2"/>
    <w:rsid w:val="64592EAE"/>
    <w:rsid w:val="65326415"/>
    <w:rsid w:val="65605C5F"/>
    <w:rsid w:val="65911740"/>
    <w:rsid w:val="65AE7F5D"/>
    <w:rsid w:val="65FB0E53"/>
    <w:rsid w:val="66452A5A"/>
    <w:rsid w:val="66C33328"/>
    <w:rsid w:val="678149E0"/>
    <w:rsid w:val="68BE0B64"/>
    <w:rsid w:val="68D47E6F"/>
    <w:rsid w:val="691A127E"/>
    <w:rsid w:val="692244D0"/>
    <w:rsid w:val="6968585F"/>
    <w:rsid w:val="6A19339F"/>
    <w:rsid w:val="6BCE176C"/>
    <w:rsid w:val="6D07449C"/>
    <w:rsid w:val="6D8365BD"/>
    <w:rsid w:val="6E2A4350"/>
    <w:rsid w:val="6E3E1339"/>
    <w:rsid w:val="6E6D657F"/>
    <w:rsid w:val="6EC32276"/>
    <w:rsid w:val="6F0F1346"/>
    <w:rsid w:val="6F57027E"/>
    <w:rsid w:val="6F7810F5"/>
    <w:rsid w:val="71313AC1"/>
    <w:rsid w:val="72DB7A02"/>
    <w:rsid w:val="72DE08AE"/>
    <w:rsid w:val="72EE6ECA"/>
    <w:rsid w:val="73A51C06"/>
    <w:rsid w:val="752B4467"/>
    <w:rsid w:val="772054B7"/>
    <w:rsid w:val="77B64349"/>
    <w:rsid w:val="78404F59"/>
    <w:rsid w:val="78D0113A"/>
    <w:rsid w:val="79120DC0"/>
    <w:rsid w:val="7B086666"/>
    <w:rsid w:val="7B870239"/>
    <w:rsid w:val="7C007CD6"/>
    <w:rsid w:val="7C6C3669"/>
    <w:rsid w:val="7CFB2380"/>
    <w:rsid w:val="7DC1685E"/>
    <w:rsid w:val="7E4839B7"/>
    <w:rsid w:val="7E9D64A0"/>
    <w:rsid w:val="7F726CC2"/>
    <w:rsid w:val="7FC73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qFormat/>
    <w:uiPriority w:val="99"/>
    <w:rPr>
      <w:sz w:val="18"/>
      <w:szCs w:val="18"/>
    </w:rPr>
  </w:style>
  <w:style w:type="character" w:customStyle="1" w:styleId="9">
    <w:name w:val="批注框文本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6</Pages>
  <Words>2448</Words>
  <Characters>2747</Characters>
  <Lines>0</Lines>
  <Paragraphs>0</Paragraphs>
  <TotalTime>1257</TotalTime>
  <ScaleCrop>false</ScaleCrop>
  <LinksUpToDate>false</LinksUpToDate>
  <CharactersWithSpaces>2791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2021-09-23T01:41:00Z</dcterms:created>
  <dc:creator>A</dc:creator>
  <cp:keywords>CPCA, PCB, 每周资讯, 第149期, 宏观, 市场, 企业</cp:keywords>
  <cp:lastModifiedBy>朕已阅</cp:lastModifiedBy>
  <cp:lastPrinted>2021-09-23T03:57:00Z</cp:lastPrinted>
  <dcterms:modified xsi:type="dcterms:W3CDTF">2026-09-23T01:53:48Z</dcterms:modified>
  <dc:subject>2026年8月27日至9月2日PCB行业每周资讯</dc:subject>
  <dc:title>CPCA149期每周资讯热点报告</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eyJoZGlkIjoiZWFlNjQ3NDIwZDEwN2RkZjI5ZmVhOGI2NjVlYTBkMTciLCJ1c2VySWQiOiIxMzgyMTM1ODU2In0=</vt:lpwstr>
  </property>
  <property fmtid="{D5CDD505-2E9C-101B-9397-08002B2CF9AE}" pid="3" name="KSOProductBuildVer">
    <vt:lpwstr>2052-12.1.0.28505</vt:lpwstr>
  </property>
  <property fmtid="{D5CDD505-2E9C-101B-9397-08002B2CF9AE}" pid="4" name="ICV">
    <vt:lpwstr>BDAFFB0FC5F5402BA17F0857C865C6B2_13</vt:lpwstr>
  </property>
</Properties>
</file>